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2DDCE" w14:textId="78FECDA1" w:rsidR="006E22AC" w:rsidRPr="00AB0C4E" w:rsidRDefault="002A6CFD" w:rsidP="001B6F36">
      <w:pPr>
        <w:pStyle w:val="DisclaimerTextMS"/>
        <w:rPr>
          <w:lang w:val="en-GB"/>
        </w:rPr>
      </w:pPr>
      <w:bookmarkStart w:id="0" w:name="_Hlk12438465"/>
      <w:bookmarkStart w:id="1" w:name="_Hlk12438789"/>
      <w:bookmarkStart w:id="2" w:name="_Hlk15297150"/>
      <w:r w:rsidRPr="00AB0C4E">
        <w:rPr>
          <w:noProof/>
          <w:lang w:val="en-GB" w:eastAsia="en-CA"/>
        </w:rPr>
        <w:drawing>
          <wp:anchor distT="0" distB="0" distL="114300" distR="114300" simplePos="0" relativeHeight="251663360" behindDoc="1" locked="0" layoutInCell="1" allowOverlap="1" wp14:anchorId="0611DAB8" wp14:editId="22A8DB0F">
            <wp:simplePos x="0" y="0"/>
            <wp:positionH relativeFrom="page">
              <wp:posOffset>-38100</wp:posOffset>
            </wp:positionH>
            <wp:positionV relativeFrom="paragraph">
              <wp:posOffset>-2120264</wp:posOffset>
            </wp:positionV>
            <wp:extent cx="7924800" cy="1188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ual cover image.png"/>
                    <pic:cNvPicPr/>
                  </pic:nvPicPr>
                  <pic:blipFill>
                    <a:blip r:embed="rId11">
                      <a:extLst>
                        <a:ext uri="{28A0092B-C50C-407E-A947-70E740481C1C}">
                          <a14:useLocalDpi xmlns:a14="http://schemas.microsoft.com/office/drawing/2010/main" val="0"/>
                        </a:ext>
                      </a:extLst>
                    </a:blip>
                    <a:stretch>
                      <a:fillRect/>
                    </a:stretch>
                  </pic:blipFill>
                  <pic:spPr bwMode="auto">
                    <a:xfrm flipH="1">
                      <a:off x="0" y="0"/>
                      <a:ext cx="7925808" cy="118887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252C" w:rsidRPr="00AB0C4E">
        <w:rPr>
          <w:noProof/>
          <w:lang w:val="en-GB" w:eastAsia="en-CA"/>
        </w:rPr>
        <mc:AlternateContent>
          <mc:Choice Requires="wps">
            <w:drawing>
              <wp:anchor distT="0" distB="0" distL="114300" distR="114300" simplePos="0" relativeHeight="251668480" behindDoc="0" locked="0" layoutInCell="1" allowOverlap="1" wp14:anchorId="7F96BAAF" wp14:editId="2732CC5C">
                <wp:simplePos x="0" y="0"/>
                <wp:positionH relativeFrom="column">
                  <wp:posOffset>650875</wp:posOffset>
                </wp:positionH>
                <wp:positionV relativeFrom="paragraph">
                  <wp:posOffset>-2104752</wp:posOffset>
                </wp:positionV>
                <wp:extent cx="175895" cy="3728085"/>
                <wp:effectExtent l="0" t="0" r="0" b="5715"/>
                <wp:wrapNone/>
                <wp:docPr id="572152911" name="Freeform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rot="10800000">
                          <a:off x="0" y="0"/>
                          <a:ext cx="175895" cy="3728085"/>
                        </a:xfrm>
                        <a:custGeom>
                          <a:avLst/>
                          <a:gdLst>
                            <a:gd name="connsiteX0" fmla="*/ 10000 w 10000"/>
                            <a:gd name="connsiteY0" fmla="*/ 0 h 18672"/>
                            <a:gd name="connsiteX1" fmla="*/ 10000 w 10000"/>
                            <a:gd name="connsiteY1" fmla="*/ 10000 h 18672"/>
                            <a:gd name="connsiteX2" fmla="*/ 693 w 10000"/>
                            <a:gd name="connsiteY2" fmla="*/ 18672 h 18672"/>
                            <a:gd name="connsiteX3" fmla="*/ 0 w 10000"/>
                            <a:gd name="connsiteY3" fmla="*/ 628 h 18672"/>
                            <a:gd name="connsiteX4" fmla="*/ 10000 w 10000"/>
                            <a:gd name="connsiteY4" fmla="*/ 0 h 18672"/>
                            <a:gd name="connsiteX0" fmla="*/ 10000 w 10000"/>
                            <a:gd name="connsiteY0" fmla="*/ 0 h 18672"/>
                            <a:gd name="connsiteX1" fmla="*/ 10000 w 10000"/>
                            <a:gd name="connsiteY1" fmla="*/ 18305 h 18672"/>
                            <a:gd name="connsiteX2" fmla="*/ 693 w 10000"/>
                            <a:gd name="connsiteY2" fmla="*/ 18672 h 18672"/>
                            <a:gd name="connsiteX3" fmla="*/ 0 w 10000"/>
                            <a:gd name="connsiteY3" fmla="*/ 628 h 18672"/>
                            <a:gd name="connsiteX4" fmla="*/ 10000 w 10000"/>
                            <a:gd name="connsiteY4" fmla="*/ 0 h 18672"/>
                            <a:gd name="connsiteX0" fmla="*/ 10000 w 10000"/>
                            <a:gd name="connsiteY0" fmla="*/ 0 h 18672"/>
                            <a:gd name="connsiteX1" fmla="*/ 10000 w 10000"/>
                            <a:gd name="connsiteY1" fmla="*/ 18305 h 18672"/>
                            <a:gd name="connsiteX2" fmla="*/ 693 w 10000"/>
                            <a:gd name="connsiteY2" fmla="*/ 18672 h 18672"/>
                            <a:gd name="connsiteX3" fmla="*/ 0 w 10000"/>
                            <a:gd name="connsiteY3" fmla="*/ 18370 h 18672"/>
                            <a:gd name="connsiteX4" fmla="*/ 0 w 10000"/>
                            <a:gd name="connsiteY4" fmla="*/ 628 h 18672"/>
                            <a:gd name="connsiteX5" fmla="*/ 10000 w 10000"/>
                            <a:gd name="connsiteY5" fmla="*/ 0 h 18672"/>
                            <a:gd name="connsiteX0" fmla="*/ 10000 w 10000"/>
                            <a:gd name="connsiteY0" fmla="*/ 0 h 18672"/>
                            <a:gd name="connsiteX1" fmla="*/ 10000 w 10000"/>
                            <a:gd name="connsiteY1" fmla="*/ 18586 h 18672"/>
                            <a:gd name="connsiteX2" fmla="*/ 693 w 10000"/>
                            <a:gd name="connsiteY2" fmla="*/ 18672 h 18672"/>
                            <a:gd name="connsiteX3" fmla="*/ 0 w 10000"/>
                            <a:gd name="connsiteY3" fmla="*/ 18370 h 18672"/>
                            <a:gd name="connsiteX4" fmla="*/ 0 w 10000"/>
                            <a:gd name="connsiteY4" fmla="*/ 628 h 18672"/>
                            <a:gd name="connsiteX5" fmla="*/ 10000 w 10000"/>
                            <a:gd name="connsiteY5" fmla="*/ 0 h 186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0" h="18672">
                              <a:moveTo>
                                <a:pt x="10000" y="0"/>
                              </a:moveTo>
                              <a:lnTo>
                                <a:pt x="10000" y="18586"/>
                              </a:lnTo>
                              <a:lnTo>
                                <a:pt x="693" y="18672"/>
                              </a:lnTo>
                              <a:cubicBezTo>
                                <a:pt x="689" y="18586"/>
                                <a:pt x="4" y="18456"/>
                                <a:pt x="0" y="18370"/>
                              </a:cubicBezTo>
                              <a:lnTo>
                                <a:pt x="0" y="628"/>
                              </a:lnTo>
                              <a:lnTo>
                                <a:pt x="10000" y="0"/>
                              </a:lnTo>
                              <a:close/>
                            </a:path>
                          </a:pathLst>
                        </a:custGeom>
                        <a:solidFill>
                          <a:schemeClr val="bg1"/>
                        </a:solidFill>
                        <a:ln w="9525">
                          <a:noFill/>
                          <a:round/>
                          <a:headEnd/>
                          <a:tailEnd/>
                        </a:ln>
                      </wps:spPr>
                      <wps:txbx>
                        <w:txbxContent>
                          <w:p w14:paraId="36FF9A28" w14:textId="77777777" w:rsidR="00A35927" w:rsidRDefault="00A35927" w:rsidP="00FF7285">
                            <w:r w:rsidRPr="00A466A3">
                              <w:rPr>
                                <w:noProof/>
                                <w:lang w:val="en-CA" w:eastAsia="en-CA"/>
                              </w:rPr>
                              <w:drawing>
                                <wp:inline distT="0" distB="0" distL="0" distR="0" wp14:anchorId="40229933" wp14:editId="0A5C2355">
                                  <wp:extent cx="0" cy="0"/>
                                  <wp:effectExtent l="0" t="0" r="0" b="0"/>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06C9B133" w14:textId="77777777" w:rsidR="00A35927" w:rsidRDefault="00A35927" w:rsidP="00FF7285"/>
                        </w:txbxContent>
                      </wps:txbx>
                      <wps:bodyPr>
                        <a:noAutofit/>
                      </wps:bodyPr>
                    </wps:wsp>
                  </a:graphicData>
                </a:graphic>
                <wp14:sizeRelV relativeFrom="margin">
                  <wp14:pctHeight>0</wp14:pctHeight>
                </wp14:sizeRelV>
              </wp:anchor>
            </w:drawing>
          </mc:Choice>
          <mc:Fallback>
            <w:pict>
              <v:shape w14:anchorId="7F96BAAF" id="Freeform 22" o:spid="_x0000_s1026" style="position:absolute;margin-left:51.25pt;margin-top:-165.75pt;width:13.85pt;height:293.55pt;rotation:18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0000,18672" o:spt="1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" adj="-11796480,,5400" path="m10000,r,18586l693,18672c689,18586,4,18456,,18370l,628,10000,xe" fillcolor="white [3212]" stroked="f">
                <v:stroke joinstyle="round"/>
                <v:formulas/>
                <v:path arrowok="t" o:connecttype="custom" o:connectlocs="175895,0;175895,3710914;12190,3728085;0,3667787;0,125388;175895,0" o:connectangles="0,0,0,0,0,0" textboxrect="0,0,10000,18672"/>
                <o:lock v:ext="edit" aspectratio="t"/>
                <v:textbox>
                  <w:txbxContent>
                    <w:p w14:paraId="36FF9A28" w14:textId="77777777" w:rsidR="00A35927" w:rsidRDefault="00A35927" w:rsidP="00FF7285">
                      <w:r w:rsidRPr="00A466A3">
                        <w:rPr>
                          <w:noProof/>
                          <w:lang w:val="en-CA" w:eastAsia="en-CA"/>
                        </w:rPr>
                        <w:drawing>
                          <wp:inline distT="0" distB="0" distL="0" distR="0" wp14:anchorId="40229933" wp14:editId="0A5C2355">
                            <wp:extent cx="0" cy="0"/>
                            <wp:effectExtent l="0" t="0" r="0" b="0"/>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06C9B133" w14:textId="77777777" w:rsidR="00A35927" w:rsidRDefault="00A35927" w:rsidP="00FF7285"/>
                  </w:txbxContent>
                </v:textbox>
              </v:shape>
            </w:pict>
          </mc:Fallback>
        </mc:AlternateContent>
      </w:r>
      <w:r w:rsidR="001B6F36" w:rsidRPr="00AB0C4E">
        <w:rPr>
          <w:noProof/>
          <w:lang w:val="en-GB" w:eastAsia="en-CA"/>
        </w:rPr>
        <mc:AlternateContent>
          <mc:Choice Requires="wps">
            <w:drawing>
              <wp:anchor distT="0" distB="0" distL="114300" distR="114300" simplePos="0" relativeHeight="251661312" behindDoc="0" locked="0" layoutInCell="1" allowOverlap="1" wp14:anchorId="1E10C536" wp14:editId="22385310">
                <wp:simplePos x="0" y="0"/>
                <wp:positionH relativeFrom="column">
                  <wp:posOffset>759551</wp:posOffset>
                </wp:positionH>
                <wp:positionV relativeFrom="paragraph">
                  <wp:posOffset>7586980</wp:posOffset>
                </wp:positionV>
                <wp:extent cx="175895" cy="1996861"/>
                <wp:effectExtent l="0" t="0" r="0" b="3810"/>
                <wp:wrapNone/>
                <wp:docPr id="22" name="Freeform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gray">
                        <a:xfrm>
                          <a:off x="0" y="0"/>
                          <a:ext cx="175895" cy="1996861"/>
                        </a:xfrm>
                        <a:custGeom>
                          <a:avLst/>
                          <a:gdLst/>
                          <a:ahLst/>
                          <a:cxnLst>
                            <a:cxn ang="0">
                              <a:pos x="120" y="0"/>
                            </a:cxn>
                            <a:cxn ang="0">
                              <a:pos x="120" y="1354"/>
                            </a:cxn>
                            <a:cxn ang="0">
                              <a:pos x="0" y="1354"/>
                            </a:cxn>
                            <a:cxn ang="0">
                              <a:pos x="0" y="85"/>
                            </a:cxn>
                            <a:cxn ang="0">
                              <a:pos x="120" y="0"/>
                            </a:cxn>
                          </a:cxnLst>
                          <a:rect l="0" t="0" r="r" b="b"/>
                          <a:pathLst>
                            <a:path w="120" h="1354">
                              <a:moveTo>
                                <a:pt x="120" y="0"/>
                              </a:moveTo>
                              <a:lnTo>
                                <a:pt x="120" y="1354"/>
                              </a:lnTo>
                              <a:lnTo>
                                <a:pt x="0" y="1354"/>
                              </a:lnTo>
                              <a:lnTo>
                                <a:pt x="0" y="85"/>
                              </a:lnTo>
                              <a:lnTo>
                                <a:pt x="120" y="0"/>
                              </a:lnTo>
                              <a:close/>
                            </a:path>
                          </a:pathLst>
                        </a:custGeom>
                        <a:solidFill>
                          <a:schemeClr val="bg1"/>
                        </a:solidFill>
                        <a:ln w="9525">
                          <a:noFill/>
                          <a:round/>
                          <a:headEnd/>
                          <a:tailEnd/>
                        </a:ln>
                      </wps:spPr>
                      <wps:txbx>
                        <w:txbxContent>
                          <w:p w14:paraId="0EB6CD46" w14:textId="77777777" w:rsidR="00A35927" w:rsidRDefault="00A35927" w:rsidP="001B6F36"/>
                        </w:txbxContent>
                      </wps:txbx>
                      <wps:bodyPr/>
                    </wps:wsp>
                  </a:graphicData>
                </a:graphic>
              </wp:anchor>
            </w:drawing>
          </mc:Choice>
          <mc:Fallback>
            <w:pict>
              <v:shape w14:anchorId="1E10C536" id="_x0000_s1027" style="position:absolute;margin-left:59.8pt;margin-top:597.4pt;width:13.85pt;height:157.2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20,1354" o:spt="1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" adj="-11796480,,5400" path="m120,r,1354l,1354,,85,120,xe" fillcolor="white [3212]" stroked="f">
                <v:stroke joinstyle="round"/>
                <v:formulas/>
                <v:path arrowok="t" o:connecttype="custom" o:connectlocs="120,0;120,1354;0,1354;0,85;120,0" o:connectangles="0,0,0,0,0" textboxrect="0,0,120,1354"/>
                <o:lock v:ext="edit" aspectratio="t"/>
                <v:textbox>
                  <w:txbxContent>
                    <w:p w14:paraId="0EB6CD46" w14:textId="77777777" w:rsidR="00A35927" w:rsidRDefault="00A35927" w:rsidP="001B6F36"/>
                  </w:txbxContent>
                </v:textbox>
              </v:shape>
            </w:pict>
          </mc:Fallback>
        </mc:AlternateContent>
      </w:r>
      <w:bookmarkEnd w:id="0"/>
      <w:bookmarkEnd w:id="1"/>
    </w:p>
    <w:p w14:paraId="58099CAF" w14:textId="36ED27EE" w:rsidR="001B6F36" w:rsidRPr="00AB0C4E" w:rsidRDefault="001B6F36" w:rsidP="006E22AC">
      <w:pPr>
        <w:rPr>
          <w:lang w:val="en-GB"/>
        </w:rPr>
      </w:pPr>
    </w:p>
    <w:p w14:paraId="6EB479AA" w14:textId="0B98936E" w:rsidR="001B6F36" w:rsidRPr="00AB0C4E" w:rsidRDefault="00097ECB">
      <w:pPr>
        <w:rPr>
          <w:lang w:val="en-GB"/>
        </w:rPr>
      </w:pPr>
      <w:r w:rsidRPr="00AB0C4E">
        <w:rPr>
          <w:noProof/>
          <w:lang w:val="en-GB" w:eastAsia="en-CA"/>
        </w:rPr>
        <mc:AlternateContent>
          <mc:Choice Requires="wps">
            <w:drawing>
              <wp:anchor distT="45720" distB="45720" distL="114300" distR="114300" simplePos="0" relativeHeight="251662336" behindDoc="0" locked="0" layoutInCell="1" allowOverlap="1" wp14:anchorId="63865117" wp14:editId="64C56D50">
                <wp:simplePos x="0" y="0"/>
                <wp:positionH relativeFrom="margin">
                  <wp:align>right</wp:align>
                </wp:positionH>
                <wp:positionV relativeFrom="paragraph">
                  <wp:posOffset>1396365</wp:posOffset>
                </wp:positionV>
                <wp:extent cx="5876290" cy="1981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1981200"/>
                        </a:xfrm>
                        <a:prstGeom prst="rect">
                          <a:avLst/>
                        </a:prstGeom>
                        <a:noFill/>
                        <a:ln w="9525">
                          <a:noFill/>
                          <a:miter lim="800000"/>
                          <a:headEnd/>
                          <a:tailEnd/>
                        </a:ln>
                      </wps:spPr>
                      <wps:txbx>
                        <w:txbxContent>
                          <w:p w14:paraId="7C6AA115" w14:textId="06947CE4" w:rsidR="00A35927" w:rsidRPr="002A1D2B" w:rsidRDefault="00A35927" w:rsidP="002A1D2B">
                            <w:pPr>
                              <w:pStyle w:val="Subtitel1"/>
                              <w:ind w:left="0"/>
                              <w:rPr>
                                <w:color w:val="FFFFFF" w:themeColor="background1"/>
                                <w:sz w:val="44"/>
                                <w:szCs w:val="44"/>
                              </w:rPr>
                            </w:pPr>
                            <w:r>
                              <w:rPr>
                                <w:color w:val="FFFFFF" w:themeColor="background1"/>
                                <w:sz w:val="44"/>
                                <w:szCs w:val="44"/>
                              </w:rPr>
                              <w:t>31 DECEMBER 2020 ILLUSTRATIVE IFRS DISCLOSURES</w:t>
                            </w:r>
                          </w:p>
                          <w:p w14:paraId="3901A229" w14:textId="4E69E7A6" w:rsidR="00A35927" w:rsidRDefault="00A35927" w:rsidP="00FF7285">
                            <w:pPr>
                              <w:pStyle w:val="Subtitel1"/>
                              <w:ind w:left="0"/>
                              <w:rPr>
                                <w:color w:val="FFFFFF" w:themeColor="background1"/>
                                <w:sz w:val="44"/>
                                <w:szCs w:val="44"/>
                              </w:rPr>
                            </w:pPr>
                            <w:r w:rsidRPr="002A1D2B">
                              <w:rPr>
                                <w:color w:val="FFFFFF" w:themeColor="background1"/>
                                <w:sz w:val="44"/>
                                <w:szCs w:val="44"/>
                              </w:rPr>
                              <w:t>COVID-19 SUPPLEMENT</w:t>
                            </w:r>
                          </w:p>
                          <w:p w14:paraId="4FE8B328" w14:textId="1D9CD8B5" w:rsidR="00A35927" w:rsidRPr="00097ECB" w:rsidRDefault="00A35927" w:rsidP="00097ECB">
                            <w:pPr>
                              <w:rPr>
                                <w:b/>
                                <w:color w:val="FFFFFF" w:themeColor="background1"/>
                                <w:sz w:val="28"/>
                                <w:szCs w:val="44"/>
                              </w:rPr>
                            </w:pPr>
                            <w:r>
                              <w:rPr>
                                <w:b/>
                                <w:color w:val="FFFFFF" w:themeColor="background1"/>
                                <w:sz w:val="28"/>
                                <w:szCs w:val="44"/>
                              </w:rPr>
                              <w:t>(</w:t>
                            </w:r>
                            <w:r w:rsidRPr="00097ECB">
                              <w:rPr>
                                <w:b/>
                                <w:color w:val="FFFFFF" w:themeColor="background1"/>
                                <w:sz w:val="28"/>
                                <w:szCs w:val="44"/>
                              </w:rPr>
                              <w:t>Including COVID-19 IFRS Disclosure Checkli</w:t>
                            </w:r>
                            <w:r>
                              <w:rPr>
                                <w:b/>
                                <w:color w:val="FFFFFF" w:themeColor="background1"/>
                                <w:sz w:val="28"/>
                                <w:szCs w:val="44"/>
                              </w:rPr>
                              <w:t>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865117" id="_x0000_t202" coordsize="21600,21600" o:spt="202" path="m,l,21600r21600,l21600,xe">
                <v:stroke joinstyle="miter"/>
                <v:path gradientshapeok="t" o:connecttype="rect"/>
              </v:shapetype>
              <v:shape id="Text Box 2" o:spid="_x0000_s1028" type="#_x0000_t202" style="position:absolute;margin-left:411.5pt;margin-top:109.95pt;width:462.7pt;height:156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" filled="f" stroked="f">
                <v:textbox>
                  <w:txbxContent>
                    <w:p w14:paraId="7C6AA115" w14:textId="06947CE4" w:rsidR="00A35927" w:rsidRPr="002A1D2B" w:rsidRDefault="00A35927" w:rsidP="002A1D2B">
                      <w:pPr>
                        <w:pStyle w:val="Subtitel1"/>
                        <w:ind w:left="0"/>
                        <w:rPr>
                          <w:color w:val="FFFFFF" w:themeColor="background1"/>
                          <w:sz w:val="44"/>
                          <w:szCs w:val="44"/>
                        </w:rPr>
                      </w:pPr>
                      <w:r>
                        <w:rPr>
                          <w:color w:val="FFFFFF" w:themeColor="background1"/>
                          <w:sz w:val="44"/>
                          <w:szCs w:val="44"/>
                        </w:rPr>
                        <w:t>31 DECEMBER 2020 ILLUSTRATIVE IFRS DISCLOSURES</w:t>
                      </w:r>
                    </w:p>
                    <w:p w14:paraId="3901A229" w14:textId="4E69E7A6" w:rsidR="00A35927" w:rsidRDefault="00A35927" w:rsidP="00FF7285">
                      <w:pPr>
                        <w:pStyle w:val="Subtitel1"/>
                        <w:ind w:left="0"/>
                        <w:rPr>
                          <w:color w:val="FFFFFF" w:themeColor="background1"/>
                          <w:sz w:val="44"/>
                          <w:szCs w:val="44"/>
                        </w:rPr>
                      </w:pPr>
                      <w:r w:rsidRPr="002A1D2B">
                        <w:rPr>
                          <w:color w:val="FFFFFF" w:themeColor="background1"/>
                          <w:sz w:val="44"/>
                          <w:szCs w:val="44"/>
                        </w:rPr>
                        <w:t>COVID-19 SUPPLEMENT</w:t>
                      </w:r>
                    </w:p>
                    <w:p w14:paraId="4FE8B328" w14:textId="1D9CD8B5" w:rsidR="00A35927" w:rsidRPr="00097ECB" w:rsidRDefault="00A35927" w:rsidP="00097ECB">
                      <w:pPr>
                        <w:rPr>
                          <w:b/>
                          <w:color w:val="FFFFFF" w:themeColor="background1"/>
                          <w:sz w:val="28"/>
                          <w:szCs w:val="44"/>
                        </w:rPr>
                      </w:pPr>
                      <w:r>
                        <w:rPr>
                          <w:b/>
                          <w:color w:val="FFFFFF" w:themeColor="background1"/>
                          <w:sz w:val="28"/>
                          <w:szCs w:val="44"/>
                        </w:rPr>
                        <w:t>(</w:t>
                      </w:r>
                      <w:r w:rsidRPr="00097ECB">
                        <w:rPr>
                          <w:b/>
                          <w:color w:val="FFFFFF" w:themeColor="background1"/>
                          <w:sz w:val="28"/>
                          <w:szCs w:val="44"/>
                        </w:rPr>
                        <w:t>Including COVID-19 IFRS Disclosure Checkli</w:t>
                      </w:r>
                      <w:r>
                        <w:rPr>
                          <w:b/>
                          <w:color w:val="FFFFFF" w:themeColor="background1"/>
                          <w:sz w:val="28"/>
                          <w:szCs w:val="44"/>
                        </w:rPr>
                        <w:t>st)</w:t>
                      </w:r>
                    </w:p>
                  </w:txbxContent>
                </v:textbox>
                <w10:wrap type="square" anchorx="margin"/>
              </v:shape>
            </w:pict>
          </mc:Fallback>
        </mc:AlternateContent>
      </w:r>
      <w:r w:rsidR="0060252C" w:rsidRPr="00AB0C4E">
        <w:rPr>
          <w:noProof/>
          <w:lang w:val="en-GB" w:eastAsia="en-CA"/>
        </w:rPr>
        <mc:AlternateContent>
          <mc:Choice Requires="wps">
            <w:drawing>
              <wp:anchor distT="0" distB="0" distL="114300" distR="114300" simplePos="0" relativeHeight="251659264" behindDoc="0" locked="0" layoutInCell="1" allowOverlap="1" wp14:anchorId="0A56FC00" wp14:editId="2566A47C">
                <wp:simplePos x="0" y="0"/>
                <wp:positionH relativeFrom="page">
                  <wp:posOffset>-195943</wp:posOffset>
                </wp:positionH>
                <wp:positionV relativeFrom="paragraph">
                  <wp:posOffset>1137557</wp:posOffset>
                </wp:positionV>
                <wp:extent cx="7760970" cy="2181497"/>
                <wp:effectExtent l="0" t="0" r="0" b="9525"/>
                <wp:wrapNone/>
                <wp:docPr id="1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0970" cy="2181497"/>
                        </a:xfrm>
                        <a:prstGeom prst="rect">
                          <a:avLst/>
                        </a:prstGeom>
                        <a:solidFill>
                          <a:schemeClr val="bg2">
                            <a:alpha val="71000"/>
                          </a:schemeClr>
                        </a:solidFill>
                        <a:ln>
                          <a:noFill/>
                        </a:ln>
                      </wps:spPr>
                      <wps:bodyPr wrap="none" anchor="ct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6AF6840" id="Rectangle 28" o:spid="_x0000_s1026" style="position:absolute;margin-left:-15.45pt;margin-top:89.55pt;width:611.1pt;height:171.75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" fillcolor="#218f8b [3214]" stroked="f">
                <v:fill opacity="46517f"/>
                <w10:wrap anchorx="page"/>
              </v:rect>
            </w:pict>
          </mc:Fallback>
        </mc:AlternateContent>
      </w:r>
      <w:r w:rsidR="001B6F36" w:rsidRPr="00AB0C4E">
        <w:rPr>
          <w:noProof/>
          <w:lang w:val="en-GB" w:eastAsia="en-CA"/>
        </w:rPr>
        <w:drawing>
          <wp:anchor distT="0" distB="0" distL="114300" distR="114300" simplePos="0" relativeHeight="251660288" behindDoc="0" locked="0" layoutInCell="1" allowOverlap="1" wp14:anchorId="2C18F7D2" wp14:editId="30ACAE9D">
            <wp:simplePos x="0" y="0"/>
            <wp:positionH relativeFrom="column">
              <wp:posOffset>5498465</wp:posOffset>
            </wp:positionH>
            <wp:positionV relativeFrom="paragraph">
              <wp:posOffset>8084624</wp:posOffset>
            </wp:positionV>
            <wp:extent cx="974090" cy="374142"/>
            <wp:effectExtent l="0" t="0" r="0" b="6985"/>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BDO_Logo_RGB 100%"/>
                    <pic:cNvPicPr>
                      <a:picLocks noChangeAspect="1" noChangeArrowheads="1"/>
                    </pic:cNvPicPr>
                  </pic:nvPicPr>
                  <pic:blipFill>
                    <a:blip r:embed="rId14"/>
                    <a:stretch>
                      <a:fillRect/>
                    </a:stretch>
                  </pic:blipFill>
                  <pic:spPr bwMode="auto">
                    <a:xfrm>
                      <a:off x="0" y="0"/>
                      <a:ext cx="974090" cy="37414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B6F36" w:rsidRPr="00AB0C4E">
        <w:rPr>
          <w:lang w:val="en-GB"/>
        </w:rPr>
        <w:br w:type="page"/>
      </w:r>
    </w:p>
    <w:p w14:paraId="3BB819FD" w14:textId="7AF827DF" w:rsidR="006A65E7" w:rsidRPr="00AB0C4E" w:rsidRDefault="0052358C" w:rsidP="00BA0B36">
      <w:pPr>
        <w:pStyle w:val="2kopBDO"/>
        <w:rPr>
          <w:lang w:val="en-GB"/>
        </w:rPr>
      </w:pPr>
      <w:r w:rsidRPr="00AB0C4E">
        <w:rPr>
          <w:noProof/>
          <w:color w:val="218F8B" w:themeColor="background2"/>
          <w:lang w:val="en-GB" w:eastAsia="en-CA"/>
        </w:rPr>
        <w:lastRenderedPageBreak/>
        <mc:AlternateContent>
          <mc:Choice Requires="wps">
            <w:drawing>
              <wp:anchor distT="0" distB="0" distL="114300" distR="114300" simplePos="0" relativeHeight="251669504" behindDoc="0" locked="0" layoutInCell="1" allowOverlap="1" wp14:anchorId="4C04AAD5" wp14:editId="48F50B8B">
                <wp:simplePos x="0" y="0"/>
                <wp:positionH relativeFrom="margin">
                  <wp:posOffset>4280535</wp:posOffset>
                </wp:positionH>
                <wp:positionV relativeFrom="paragraph">
                  <wp:posOffset>0</wp:posOffset>
                </wp:positionV>
                <wp:extent cx="1733550" cy="2209800"/>
                <wp:effectExtent l="0" t="0" r="19050" b="19050"/>
                <wp:wrapSquare wrapText="bothSides"/>
                <wp:docPr id="572152914" name="Rectangle 572152914"/>
                <wp:cNvGraphicFramePr/>
                <a:graphic xmlns:a="http://schemas.openxmlformats.org/drawingml/2006/main">
                  <a:graphicData uri="http://schemas.microsoft.com/office/word/2010/wordprocessingShape">
                    <wps:wsp>
                      <wps:cNvSpPr/>
                      <wps:spPr>
                        <a:xfrm>
                          <a:off x="0" y="0"/>
                          <a:ext cx="1733550" cy="2209800"/>
                        </a:xfrm>
                        <a:prstGeom prst="rect">
                          <a:avLst/>
                        </a:prstGeom>
                        <a:solidFill>
                          <a:schemeClr val="bg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1E8F8" w14:textId="416F9614" w:rsidR="00A35927" w:rsidRDefault="00A35927" w:rsidP="0052358C">
                            <w:pPr>
                              <w:spacing w:line="240" w:lineRule="auto"/>
                              <w:rPr>
                                <w:b/>
                              </w:rPr>
                            </w:pPr>
                            <w:r>
                              <w:rPr>
                                <w:b/>
                              </w:rPr>
                              <w:t>EXECUTIVE SUMMARY</w:t>
                            </w:r>
                          </w:p>
                          <w:p w14:paraId="7E500E0A" w14:textId="77777777" w:rsidR="00A35927" w:rsidRDefault="00A35927" w:rsidP="00152D82">
                            <w:pPr>
                              <w:spacing w:line="240" w:lineRule="auto"/>
                            </w:pPr>
                            <w:r>
                              <w:t xml:space="preserve">The effects of COVID-19 on financial reporting are widespread. </w:t>
                            </w:r>
                          </w:p>
                          <w:p w14:paraId="40D64E14" w14:textId="4CB99943" w:rsidR="00A35927" w:rsidRPr="00526CE7" w:rsidRDefault="00A35927" w:rsidP="00152D82">
                            <w:pPr>
                              <w:spacing w:line="240" w:lineRule="auto"/>
                            </w:pPr>
                            <w:r>
                              <w:t xml:space="preserve">Entities need to carefully consider how the financial and non-financial effects of the pandemic may need to be reflected in their financial statements and other filings.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4AAD5" id="Rectangle 572152914" o:spid="_x0000_s1029" style="position:absolute;margin-left:337.05pt;margin-top:0;width:136.5pt;height:17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" fillcolor="#218f8b [3214]" strokecolor="white [3212]" strokeweight="1pt">
                <v:textbox>
                  <w:txbxContent>
                    <w:p w14:paraId="2081E8F8" w14:textId="416F9614" w:rsidR="00A35927" w:rsidRDefault="00A35927" w:rsidP="0052358C">
                      <w:pPr>
                        <w:spacing w:line="240" w:lineRule="auto"/>
                        <w:rPr>
                          <w:b/>
                        </w:rPr>
                      </w:pPr>
                      <w:r>
                        <w:rPr>
                          <w:b/>
                        </w:rPr>
                        <w:t>EXECUTIVE SUMMARY</w:t>
                      </w:r>
                    </w:p>
                    <w:p w14:paraId="7E500E0A" w14:textId="77777777" w:rsidR="00A35927" w:rsidRDefault="00A35927" w:rsidP="00152D82">
                      <w:pPr>
                        <w:spacing w:line="240" w:lineRule="auto"/>
                      </w:pPr>
                      <w:r>
                        <w:t xml:space="preserve">The effects of COVID-19 on financial reporting are widespread. </w:t>
                      </w:r>
                    </w:p>
                    <w:p w14:paraId="40D64E14" w14:textId="4CB99943" w:rsidR="00A35927" w:rsidRPr="00526CE7" w:rsidRDefault="00A35927" w:rsidP="00152D82">
                      <w:pPr>
                        <w:spacing w:line="240" w:lineRule="auto"/>
                      </w:pPr>
                      <w:r>
                        <w:t xml:space="preserve">Entities need to carefully consider how the financial and non-financial effects of the pandemic may need to be reflected in their financial statements and other filings. </w:t>
                      </w:r>
                    </w:p>
                  </w:txbxContent>
                </v:textbox>
                <w10:wrap type="square" anchorx="margin"/>
              </v:rect>
            </w:pict>
          </mc:Fallback>
        </mc:AlternateContent>
      </w:r>
      <w:r w:rsidR="00BA0B36" w:rsidRPr="00AB0C4E">
        <w:rPr>
          <w:caps w:val="0"/>
          <w:color w:val="218F8B" w:themeColor="background2"/>
          <w:lang w:val="en-GB" w:eastAsia="en-GB"/>
        </w:rPr>
        <w:t>BACKGROUND</w:t>
      </w:r>
    </w:p>
    <w:p w14:paraId="65427A94" w14:textId="04EAAD06" w:rsidR="00CF4173" w:rsidRPr="00AB0C4E" w:rsidRDefault="00CF4173" w:rsidP="00CF4173">
      <w:pPr>
        <w:pStyle w:val="Heading10"/>
        <w:rPr>
          <w:b w:val="0"/>
          <w:color w:val="auto"/>
          <w:sz w:val="20"/>
          <w:szCs w:val="20"/>
          <w:lang w:val="en-GB"/>
        </w:rPr>
      </w:pPr>
      <w:r w:rsidRPr="00AB0C4E">
        <w:rPr>
          <w:b w:val="0"/>
          <w:color w:val="auto"/>
          <w:sz w:val="20"/>
          <w:szCs w:val="20"/>
          <w:lang w:val="en-GB"/>
        </w:rPr>
        <w:t xml:space="preserve">BDO has published its 31 December 2020 illustrative financial statements, which are available </w:t>
      </w:r>
      <w:hyperlink r:id="rId15" w:history="1">
        <w:r w:rsidRPr="00AB0C4E">
          <w:rPr>
            <w:rStyle w:val="Hyperlink"/>
            <w:b w:val="0"/>
            <w:sz w:val="20"/>
            <w:szCs w:val="20"/>
            <w:lang w:val="en-GB"/>
          </w:rPr>
          <w:t>here</w:t>
        </w:r>
      </w:hyperlink>
      <w:r w:rsidRPr="00AB0C4E">
        <w:rPr>
          <w:b w:val="0"/>
          <w:color w:val="auto"/>
          <w:sz w:val="20"/>
          <w:szCs w:val="20"/>
          <w:lang w:val="en-GB"/>
        </w:rPr>
        <w:t xml:space="preserve">. Along with the H1 30 June 2020 illustrative interim financial statements, these publications demonstrate the changes in IFRS that should be reflected in an entity’s financial statements, along with some examples of disclosures relating to the effects of COVID-19. </w:t>
      </w:r>
    </w:p>
    <w:p w14:paraId="569D51DD" w14:textId="03029817" w:rsidR="00CF4173" w:rsidRPr="00AB0C4E" w:rsidRDefault="00CF4173" w:rsidP="00CF4173">
      <w:pPr>
        <w:pStyle w:val="Heading10"/>
        <w:rPr>
          <w:b w:val="0"/>
          <w:color w:val="auto"/>
          <w:sz w:val="20"/>
          <w:szCs w:val="20"/>
          <w:lang w:val="en-GB"/>
        </w:rPr>
      </w:pPr>
      <w:r w:rsidRPr="00AB0C4E">
        <w:rPr>
          <w:b w:val="0"/>
          <w:color w:val="auto"/>
          <w:sz w:val="20"/>
          <w:szCs w:val="20"/>
          <w:lang w:val="en-GB"/>
        </w:rPr>
        <w:t xml:space="preserve">COVID-19 has interrupted the movement of people and goods throughout the world, as well as affecting the profitability and viability of many entities. Its effects may vary significantly from one entity to another, therefore, it is not possible for a single illustrative financial statement to consider all of the financial reporting and disclosure considerations. </w:t>
      </w:r>
    </w:p>
    <w:p w14:paraId="24771CDE" w14:textId="15915405" w:rsidR="00CF4173" w:rsidRPr="00AB0C4E" w:rsidRDefault="00CF4173" w:rsidP="00CF4173">
      <w:pPr>
        <w:rPr>
          <w:lang w:val="en-GB"/>
        </w:rPr>
      </w:pPr>
      <w:r w:rsidRPr="00AB0C4E">
        <w:rPr>
          <w:lang w:val="en-GB"/>
        </w:rPr>
        <w:t>The purpose of this COVID-19 supplement is to provide additional matters for entities to consider in preparing their financial statements, including illustrations of certain disclosures.</w:t>
      </w:r>
      <w:r w:rsidR="00433654" w:rsidRPr="00AB0C4E">
        <w:rPr>
          <w:lang w:val="en-GB"/>
        </w:rPr>
        <w:t xml:space="preserve"> The presentation and disclosure requirements of IFRS are </w:t>
      </w:r>
      <w:r w:rsidR="00C03329">
        <w:rPr>
          <w:lang w:val="en-GB"/>
        </w:rPr>
        <w:t>substantial</w:t>
      </w:r>
      <w:r w:rsidR="00433654" w:rsidRPr="00AB0C4E">
        <w:rPr>
          <w:lang w:val="en-GB"/>
        </w:rPr>
        <w:t xml:space="preserve">, therefore, this publication cannot adequately replace consulting the full requirements of IFRS or complete disclosure checklists, which summarise all disclosure requirements within IFRS. </w:t>
      </w:r>
    </w:p>
    <w:p w14:paraId="1AD0B089" w14:textId="73435021" w:rsidR="00CF4173" w:rsidRPr="00AB0C4E" w:rsidRDefault="00CF4173" w:rsidP="00CF4173">
      <w:pPr>
        <w:rPr>
          <w:lang w:val="en-GB"/>
        </w:rPr>
      </w:pPr>
      <w:r w:rsidRPr="00AB0C4E">
        <w:rPr>
          <w:lang w:val="en-GB"/>
        </w:rPr>
        <w:t>This publication is divided into two major sections:</w:t>
      </w:r>
    </w:p>
    <w:p w14:paraId="7865E9B0" w14:textId="1DA0822A" w:rsidR="00CF4173" w:rsidRPr="00AB0C4E" w:rsidRDefault="009B0144" w:rsidP="00CF4173">
      <w:pPr>
        <w:pStyle w:val="ListParagraph"/>
        <w:numPr>
          <w:ilvl w:val="0"/>
          <w:numId w:val="23"/>
        </w:numPr>
      </w:pPr>
      <w:hyperlink w:anchor="SectionA" w:history="1">
        <w:r w:rsidR="00CF4173" w:rsidRPr="00AB0C4E">
          <w:rPr>
            <w:rStyle w:val="Hyperlink"/>
          </w:rPr>
          <w:t xml:space="preserve">Section A: </w:t>
        </w:r>
        <w:r w:rsidR="00097ECB" w:rsidRPr="00AB0C4E">
          <w:rPr>
            <w:rStyle w:val="Hyperlink"/>
          </w:rPr>
          <w:t>COVID-19 IFRS disclosure checklist</w:t>
        </w:r>
      </w:hyperlink>
    </w:p>
    <w:p w14:paraId="78863549" w14:textId="54206170" w:rsidR="00097ECB" w:rsidRPr="00AB0C4E" w:rsidRDefault="00097ECB" w:rsidP="00097ECB">
      <w:pPr>
        <w:pStyle w:val="ListParagraph"/>
        <w:numPr>
          <w:ilvl w:val="1"/>
          <w:numId w:val="23"/>
        </w:numPr>
      </w:pPr>
      <w:r w:rsidRPr="00AB0C4E">
        <w:t>This section provides brief examples of areas of financial statements that may be affected by COVID-19. Preparers of IFRS financial statements may find this checklist</w:t>
      </w:r>
      <w:r w:rsidR="00242756" w:rsidRPr="00AB0C4E">
        <w:t xml:space="preserve"> useful in </w:t>
      </w:r>
      <w:r w:rsidR="00C03329">
        <w:t xml:space="preserve">identifying </w:t>
      </w:r>
      <w:r w:rsidR="00242756" w:rsidRPr="00AB0C4E">
        <w:t>disclosures</w:t>
      </w:r>
      <w:r w:rsidR="00C03329">
        <w:t xml:space="preserve"> which</w:t>
      </w:r>
      <w:r w:rsidR="00242756" w:rsidRPr="00AB0C4E">
        <w:t xml:space="preserve"> may need to </w:t>
      </w:r>
      <w:proofErr w:type="gramStart"/>
      <w:r w:rsidR="00242756" w:rsidRPr="00AB0C4E">
        <w:t>modified</w:t>
      </w:r>
      <w:proofErr w:type="gramEnd"/>
      <w:r w:rsidR="00242756" w:rsidRPr="00AB0C4E">
        <w:t xml:space="preserve"> or added. </w:t>
      </w:r>
      <w:r w:rsidRPr="00AB0C4E">
        <w:t xml:space="preserve"> </w:t>
      </w:r>
    </w:p>
    <w:p w14:paraId="09A25284" w14:textId="6AD332AD" w:rsidR="00351C41" w:rsidRPr="00AB0C4E" w:rsidRDefault="009B0144" w:rsidP="00CF4173">
      <w:pPr>
        <w:pStyle w:val="ListParagraph"/>
        <w:numPr>
          <w:ilvl w:val="0"/>
          <w:numId w:val="23"/>
        </w:numPr>
      </w:pPr>
      <w:hyperlink w:anchor="SectionB" w:history="1">
        <w:r w:rsidR="00351C41" w:rsidRPr="00AB0C4E">
          <w:rPr>
            <w:rStyle w:val="Hyperlink"/>
          </w:rPr>
          <w:t xml:space="preserve">Section B: </w:t>
        </w:r>
        <w:r w:rsidR="00242756" w:rsidRPr="00AB0C4E">
          <w:rPr>
            <w:rStyle w:val="Hyperlink"/>
          </w:rPr>
          <w:t>Illustrative Disclosures</w:t>
        </w:r>
      </w:hyperlink>
    </w:p>
    <w:p w14:paraId="2B5630CB" w14:textId="3FDE5C02" w:rsidR="00CF4173" w:rsidRPr="00AB0C4E" w:rsidRDefault="00242756" w:rsidP="00CF4173">
      <w:pPr>
        <w:pStyle w:val="ListParagraph"/>
        <w:numPr>
          <w:ilvl w:val="1"/>
          <w:numId w:val="23"/>
        </w:numPr>
      </w:pPr>
      <w:r w:rsidRPr="00AB0C4E">
        <w:t xml:space="preserve">This section provides illustrative disclosures for some of the items noted in Section A. </w:t>
      </w:r>
    </w:p>
    <w:p w14:paraId="507C80A8" w14:textId="1EE5CBDB" w:rsidR="00C8394C" w:rsidRPr="00AB0C4E" w:rsidRDefault="00C8394C" w:rsidP="00C8394C">
      <w:pPr>
        <w:rPr>
          <w:lang w:val="en-GB"/>
        </w:rPr>
      </w:pPr>
      <w:r w:rsidRPr="00AB0C4E">
        <w:rPr>
          <w:lang w:val="en-GB"/>
        </w:rPr>
        <w:t xml:space="preserve">For further information on measurement implications of COVID-19 (e.g. impairment), please consult the resources listed below. </w:t>
      </w:r>
    </w:p>
    <w:p w14:paraId="73CBF33D" w14:textId="7FC4F6A3" w:rsidR="006A65E7" w:rsidRPr="00AB0C4E" w:rsidRDefault="007C0EDF" w:rsidP="007C0EDF">
      <w:pPr>
        <w:pStyle w:val="2kopBDO"/>
        <w:rPr>
          <w:color w:val="218F8B" w:themeColor="background2"/>
          <w:lang w:val="en-GB"/>
        </w:rPr>
      </w:pPr>
      <w:r w:rsidRPr="00AB0C4E">
        <w:rPr>
          <w:color w:val="218F8B" w:themeColor="background2"/>
          <w:lang w:val="en-GB"/>
        </w:rPr>
        <w:t>other covid-19 resources</w:t>
      </w:r>
    </w:p>
    <w:p w14:paraId="321748FE" w14:textId="28F143CC" w:rsidR="00242756" w:rsidRPr="00AB0C4E" w:rsidRDefault="00242756" w:rsidP="006E22AC">
      <w:pPr>
        <w:rPr>
          <w:lang w:val="en-GB"/>
        </w:rPr>
      </w:pPr>
      <w:r w:rsidRPr="00AB0C4E">
        <w:rPr>
          <w:lang w:val="en-GB"/>
        </w:rPr>
        <w:t>For additional</w:t>
      </w:r>
      <w:r w:rsidR="00FF36BA" w:rsidRPr="00AB0C4E">
        <w:rPr>
          <w:lang w:val="en-GB"/>
        </w:rPr>
        <w:t xml:space="preserve"> resources relating to the effects of COVID-19 on financial reporting, please refer to </w:t>
      </w:r>
      <w:proofErr w:type="spellStart"/>
      <w:r w:rsidR="00FF36BA" w:rsidRPr="00AB0C4E">
        <w:rPr>
          <w:lang w:val="en-GB"/>
        </w:rPr>
        <w:t>BDO’s</w:t>
      </w:r>
      <w:proofErr w:type="spellEnd"/>
      <w:r w:rsidR="00FF36BA" w:rsidRPr="00AB0C4E">
        <w:rPr>
          <w:lang w:val="en-GB"/>
        </w:rPr>
        <w:t xml:space="preserve"> </w:t>
      </w:r>
      <w:hyperlink r:id="rId16" w:history="1">
        <w:r w:rsidR="00FF36BA" w:rsidRPr="00AB0C4E">
          <w:rPr>
            <w:rStyle w:val="Hyperlink"/>
            <w:lang w:val="en-GB"/>
          </w:rPr>
          <w:t>Global IFRS Microsite</w:t>
        </w:r>
      </w:hyperlink>
      <w:r w:rsidR="00FF36BA" w:rsidRPr="00AB0C4E">
        <w:rPr>
          <w:lang w:val="en-GB"/>
        </w:rPr>
        <w:t xml:space="preserve">. As at the date of publishing this document, the following documents may be </w:t>
      </w:r>
    </w:p>
    <w:tbl>
      <w:tblPr>
        <w:tblStyle w:val="BDOTable"/>
        <w:tblW w:w="0" w:type="auto"/>
        <w:tblLook w:val="04A0" w:firstRow="1" w:lastRow="0" w:firstColumn="1" w:lastColumn="0" w:noHBand="0" w:noVBand="1"/>
      </w:tblPr>
      <w:tblGrid>
        <w:gridCol w:w="9628"/>
      </w:tblGrid>
      <w:tr w:rsidR="00242756" w:rsidRPr="00AB0C4E" w14:paraId="1BBAB43A" w14:textId="77777777" w:rsidTr="00437229">
        <w:trPr>
          <w:cnfStyle w:val="100000000000" w:firstRow="1" w:lastRow="0" w:firstColumn="0" w:lastColumn="0" w:oddVBand="0" w:evenVBand="0" w:oddHBand="0" w:evenHBand="0" w:firstRowFirstColumn="0" w:firstRowLastColumn="0" w:lastRowFirstColumn="0" w:lastRowLastColumn="0"/>
        </w:trPr>
        <w:tc>
          <w:tcPr>
            <w:tcW w:w="9628" w:type="dxa"/>
          </w:tcPr>
          <w:p w14:paraId="55904BD9" w14:textId="49D9F666" w:rsidR="00242756" w:rsidRPr="00AB0C4E" w:rsidRDefault="00242756" w:rsidP="0049068F">
            <w:pPr>
              <w:rPr>
                <w:sz w:val="16"/>
                <w:lang w:val="en-GB"/>
              </w:rPr>
            </w:pPr>
            <w:r w:rsidRPr="00AB0C4E">
              <w:rPr>
                <w:sz w:val="16"/>
                <w:lang w:val="en-GB"/>
              </w:rPr>
              <w:t>Additional</w:t>
            </w:r>
            <w:r w:rsidR="0049068F" w:rsidRPr="00AB0C4E">
              <w:rPr>
                <w:sz w:val="16"/>
                <w:lang w:val="en-GB"/>
              </w:rPr>
              <w:t xml:space="preserve"> resources</w:t>
            </w:r>
            <w:r w:rsidRPr="00AB0C4E">
              <w:rPr>
                <w:sz w:val="16"/>
                <w:lang w:val="en-GB"/>
              </w:rPr>
              <w:t xml:space="preserve">: </w:t>
            </w:r>
          </w:p>
        </w:tc>
      </w:tr>
      <w:tr w:rsidR="00242756" w:rsidRPr="00AB0C4E" w14:paraId="09E0D604" w14:textId="77777777" w:rsidTr="00437229">
        <w:tc>
          <w:tcPr>
            <w:tcW w:w="9628" w:type="dxa"/>
          </w:tcPr>
          <w:p w14:paraId="64A0DA3A" w14:textId="26CC887C" w:rsidR="00242756" w:rsidRPr="00AB0C4E" w:rsidRDefault="009B0144" w:rsidP="00437229">
            <w:pPr>
              <w:rPr>
                <w:sz w:val="16"/>
                <w:lang w:val="en-GB"/>
              </w:rPr>
            </w:pPr>
            <w:hyperlink r:id="rId17" w:history="1">
              <w:r w:rsidR="00075448" w:rsidRPr="00AB0C4E">
                <w:rPr>
                  <w:rStyle w:val="Hyperlink"/>
                  <w:sz w:val="16"/>
                  <w:lang w:val="en-GB"/>
                </w:rPr>
                <w:t>IFR Bulletin 2020/02 – Potential Effects of Coronavirus on 31 December Year-end Financial Reporting</w:t>
              </w:r>
            </w:hyperlink>
          </w:p>
        </w:tc>
      </w:tr>
      <w:tr w:rsidR="00242756" w:rsidRPr="00AB0C4E" w14:paraId="4FBC7630" w14:textId="77777777" w:rsidTr="00437229">
        <w:tc>
          <w:tcPr>
            <w:tcW w:w="9628" w:type="dxa"/>
          </w:tcPr>
          <w:p w14:paraId="117EFCFF" w14:textId="7BBC4DA6" w:rsidR="00242756" w:rsidRPr="00AB0C4E" w:rsidRDefault="009B0144" w:rsidP="00437229">
            <w:pPr>
              <w:rPr>
                <w:sz w:val="16"/>
                <w:lang w:val="en-GB"/>
              </w:rPr>
            </w:pPr>
            <w:hyperlink r:id="rId18" w:history="1">
              <w:r w:rsidR="00075448" w:rsidRPr="00AB0C4E">
                <w:rPr>
                  <w:rStyle w:val="Hyperlink"/>
                  <w:sz w:val="16"/>
                  <w:lang w:val="en-GB"/>
                </w:rPr>
                <w:t>IFR Bulletin 2020/03 – Potential Effects of Coronavirus on 2020 Reporting Periods and Onward</w:t>
              </w:r>
            </w:hyperlink>
          </w:p>
        </w:tc>
      </w:tr>
      <w:tr w:rsidR="00242756" w:rsidRPr="00AB0C4E" w14:paraId="32EA1C89" w14:textId="77777777" w:rsidTr="00437229">
        <w:tc>
          <w:tcPr>
            <w:tcW w:w="9628" w:type="dxa"/>
          </w:tcPr>
          <w:p w14:paraId="0C0EE815" w14:textId="653CC1FC" w:rsidR="00242756" w:rsidRPr="00AB0C4E" w:rsidRDefault="009B0144" w:rsidP="00437229">
            <w:pPr>
              <w:rPr>
                <w:sz w:val="16"/>
                <w:lang w:val="en-GB"/>
              </w:rPr>
            </w:pPr>
            <w:hyperlink r:id="rId19" w:history="1">
              <w:r w:rsidR="00075448" w:rsidRPr="00AB0C4E">
                <w:rPr>
                  <w:rStyle w:val="Hyperlink"/>
                  <w:sz w:val="16"/>
                  <w:lang w:val="en-GB"/>
                </w:rPr>
                <w:t>IFR Bulletin 2020/07 – Impairment Implications of COVID-19 (IAS 36)</w:t>
              </w:r>
            </w:hyperlink>
          </w:p>
        </w:tc>
      </w:tr>
      <w:tr w:rsidR="00242756" w:rsidRPr="00AB0C4E" w14:paraId="1D773EBF" w14:textId="77777777" w:rsidTr="00437229">
        <w:tc>
          <w:tcPr>
            <w:tcW w:w="9628" w:type="dxa"/>
          </w:tcPr>
          <w:p w14:paraId="5A55825E" w14:textId="4635114C" w:rsidR="00242756" w:rsidRPr="00AB0C4E" w:rsidRDefault="009B0144" w:rsidP="00437229">
            <w:pPr>
              <w:rPr>
                <w:sz w:val="16"/>
                <w:lang w:val="en-GB"/>
              </w:rPr>
            </w:pPr>
            <w:hyperlink r:id="rId20" w:history="1">
              <w:r w:rsidR="00075448" w:rsidRPr="00AB0C4E">
                <w:rPr>
                  <w:rStyle w:val="Hyperlink"/>
                  <w:sz w:val="16"/>
                  <w:lang w:val="en-GB"/>
                </w:rPr>
                <w:t>IFR Bulletin 2020/0</w:t>
              </w:r>
              <w:r w:rsidR="00606D60" w:rsidRPr="00AB0C4E">
                <w:rPr>
                  <w:rStyle w:val="Hyperlink"/>
                  <w:sz w:val="16"/>
                  <w:lang w:val="en-GB"/>
                </w:rPr>
                <w:t>9 – Impairment Implications of COVID-19 (IFRS 9)</w:t>
              </w:r>
            </w:hyperlink>
          </w:p>
        </w:tc>
      </w:tr>
      <w:tr w:rsidR="00242756" w:rsidRPr="00AB0C4E" w14:paraId="0957E13C" w14:textId="77777777" w:rsidTr="00437229">
        <w:tc>
          <w:tcPr>
            <w:tcW w:w="9628" w:type="dxa"/>
          </w:tcPr>
          <w:p w14:paraId="02AEDCC3" w14:textId="448A266E" w:rsidR="00242756" w:rsidRPr="00AB0C4E" w:rsidRDefault="009B0144" w:rsidP="00437229">
            <w:pPr>
              <w:rPr>
                <w:sz w:val="16"/>
                <w:lang w:val="en-GB"/>
              </w:rPr>
            </w:pPr>
            <w:hyperlink r:id="rId21" w:history="1">
              <w:r w:rsidR="00606D60" w:rsidRPr="00AB0C4E">
                <w:rPr>
                  <w:rStyle w:val="Hyperlink"/>
                  <w:sz w:val="16"/>
                  <w:lang w:val="en-GB"/>
                </w:rPr>
                <w:t>IFR Bulletin 2020/11 – Accounting for Rent Concessions: Lessee FAQs</w:t>
              </w:r>
            </w:hyperlink>
          </w:p>
        </w:tc>
      </w:tr>
      <w:tr w:rsidR="00242756" w:rsidRPr="00AB0C4E" w14:paraId="42AB8174" w14:textId="77777777" w:rsidTr="00437229">
        <w:tc>
          <w:tcPr>
            <w:tcW w:w="9628" w:type="dxa"/>
          </w:tcPr>
          <w:p w14:paraId="0B687DB7" w14:textId="04C086F3" w:rsidR="00242756" w:rsidRPr="00AB0C4E" w:rsidRDefault="009B0144" w:rsidP="00437229">
            <w:pPr>
              <w:rPr>
                <w:sz w:val="16"/>
                <w:lang w:val="en-GB"/>
              </w:rPr>
            </w:pPr>
            <w:hyperlink r:id="rId22" w:history="1">
              <w:r w:rsidR="00606D60" w:rsidRPr="00AB0C4E">
                <w:rPr>
                  <w:rStyle w:val="Hyperlink"/>
                  <w:sz w:val="16"/>
                  <w:lang w:val="en-GB"/>
                </w:rPr>
                <w:t>IFR Bulletin 2020/12 – Implications of COVID-19 for Lessors</w:t>
              </w:r>
            </w:hyperlink>
          </w:p>
        </w:tc>
      </w:tr>
      <w:tr w:rsidR="00606D60" w:rsidRPr="00AB0C4E" w14:paraId="38943DFA" w14:textId="77777777" w:rsidTr="00437229">
        <w:tc>
          <w:tcPr>
            <w:tcW w:w="9628" w:type="dxa"/>
          </w:tcPr>
          <w:p w14:paraId="3DF9F0B6" w14:textId="340F4A96" w:rsidR="00606D60" w:rsidRPr="00AB0C4E" w:rsidRDefault="009B0144" w:rsidP="002A480D">
            <w:pPr>
              <w:rPr>
                <w:sz w:val="16"/>
                <w:lang w:val="en-GB"/>
              </w:rPr>
            </w:pPr>
            <w:hyperlink r:id="rId23" w:history="1">
              <w:r w:rsidR="00606D60" w:rsidRPr="00AB0C4E">
                <w:rPr>
                  <w:rStyle w:val="Hyperlink"/>
                  <w:sz w:val="16"/>
                  <w:lang w:val="en-GB"/>
                </w:rPr>
                <w:t xml:space="preserve">IFRS In Practice 2020-2021 – IAS 36 Impairment of Assets (including </w:t>
              </w:r>
              <w:r w:rsidR="002A480D" w:rsidRPr="00AB0C4E">
                <w:rPr>
                  <w:rStyle w:val="Hyperlink"/>
                  <w:sz w:val="16"/>
                  <w:lang w:val="en-GB"/>
                </w:rPr>
                <w:t>g</w:t>
              </w:r>
              <w:r w:rsidR="00606D60" w:rsidRPr="00AB0C4E">
                <w:rPr>
                  <w:rStyle w:val="Hyperlink"/>
                  <w:sz w:val="16"/>
                  <w:lang w:val="en-GB"/>
                </w:rPr>
                <w:t>uidance on the impact of COVID-19)</w:t>
              </w:r>
            </w:hyperlink>
          </w:p>
        </w:tc>
      </w:tr>
      <w:tr w:rsidR="00606D60" w:rsidRPr="00AB0C4E" w14:paraId="3577A961" w14:textId="77777777" w:rsidTr="00437229">
        <w:tc>
          <w:tcPr>
            <w:tcW w:w="9628" w:type="dxa"/>
          </w:tcPr>
          <w:p w14:paraId="68BCFE60" w14:textId="10012A1B" w:rsidR="00606D60" w:rsidRPr="00AB0C4E" w:rsidRDefault="009B0144" w:rsidP="00437229">
            <w:pPr>
              <w:rPr>
                <w:sz w:val="16"/>
                <w:lang w:val="en-GB"/>
              </w:rPr>
            </w:pPr>
            <w:hyperlink r:id="rId24" w:history="1">
              <w:r w:rsidR="00606D60" w:rsidRPr="00AB0C4E">
                <w:rPr>
                  <w:rStyle w:val="Hyperlink"/>
                  <w:sz w:val="16"/>
                  <w:lang w:val="en-GB"/>
                </w:rPr>
                <w:t>31 December 2020 illustrative financial statements and 30 June 2020 illustrative interim financial statements</w:t>
              </w:r>
            </w:hyperlink>
          </w:p>
        </w:tc>
      </w:tr>
    </w:tbl>
    <w:p w14:paraId="254394C7" w14:textId="77777777" w:rsidR="0062565C" w:rsidRPr="00AB0C4E" w:rsidRDefault="0049068F" w:rsidP="006E22AC">
      <w:pPr>
        <w:rPr>
          <w:lang w:val="en-GB"/>
        </w:rPr>
        <w:sectPr w:rsidR="0062565C" w:rsidRPr="00AB0C4E" w:rsidSect="001B6F36">
          <w:headerReference w:type="default" r:id="rId25"/>
          <w:footerReference w:type="default" r:id="rId26"/>
          <w:pgSz w:w="11906" w:h="16838" w:code="9"/>
          <w:pgMar w:top="1701" w:right="1134" w:bottom="1134" w:left="1134" w:header="0" w:footer="57" w:gutter="0"/>
          <w:pgNumType w:start="1"/>
          <w:cols w:space="708"/>
          <w:titlePg/>
          <w:docGrid w:linePitch="360"/>
        </w:sectPr>
      </w:pPr>
      <w:r w:rsidRPr="00AB0C4E">
        <w:rPr>
          <w:lang w:val="en-GB"/>
        </w:rPr>
        <w:br w:type="page"/>
      </w:r>
    </w:p>
    <w:p w14:paraId="7D968EEB" w14:textId="146E8D1F" w:rsidR="0038009E" w:rsidRPr="00AB0C4E" w:rsidRDefault="00FF36BA" w:rsidP="00FF36BA">
      <w:pPr>
        <w:pStyle w:val="2kopBDO"/>
        <w:rPr>
          <w:lang w:val="en-GB"/>
        </w:rPr>
      </w:pPr>
      <w:bookmarkStart w:id="3" w:name="SectionA"/>
      <w:r w:rsidRPr="00AB0C4E">
        <w:rPr>
          <w:lang w:val="en-GB"/>
        </w:rPr>
        <w:lastRenderedPageBreak/>
        <w:t xml:space="preserve">SECTION A </w:t>
      </w:r>
      <w:bookmarkEnd w:id="3"/>
      <w:r w:rsidRPr="00AB0C4E">
        <w:rPr>
          <w:lang w:val="en-GB"/>
        </w:rPr>
        <w:t>– COVID-19 IFRS DISCLOSURE CHECKLIST</w:t>
      </w:r>
    </w:p>
    <w:tbl>
      <w:tblPr>
        <w:tblStyle w:val="Style1"/>
        <w:tblW w:w="0" w:type="auto"/>
        <w:tblLook w:val="04A0" w:firstRow="1" w:lastRow="0" w:firstColumn="1" w:lastColumn="0" w:noHBand="0" w:noVBand="1"/>
      </w:tblPr>
      <w:tblGrid>
        <w:gridCol w:w="1980"/>
        <w:gridCol w:w="3260"/>
        <w:gridCol w:w="6946"/>
        <w:gridCol w:w="1807"/>
      </w:tblGrid>
      <w:tr w:rsidR="006C7FDD" w:rsidRPr="00AB0C4E" w14:paraId="0DBECA64" w14:textId="16F60066" w:rsidTr="00B26184">
        <w:trPr>
          <w:cnfStyle w:val="100000000000" w:firstRow="1" w:lastRow="0" w:firstColumn="0" w:lastColumn="0" w:oddVBand="0" w:evenVBand="0" w:oddHBand="0" w:evenHBand="0" w:firstRowFirstColumn="0" w:firstRowLastColumn="0" w:lastRowFirstColumn="0" w:lastRowLastColumn="0"/>
          <w:tblHeader/>
        </w:trPr>
        <w:tc>
          <w:tcPr>
            <w:tcW w:w="1980" w:type="dxa"/>
            <w:vAlign w:val="center"/>
          </w:tcPr>
          <w:p w14:paraId="59F93E3D" w14:textId="0B20ADCE" w:rsidR="006C7FDD" w:rsidRPr="00AB0C4E" w:rsidRDefault="006C7FDD" w:rsidP="006C7FDD">
            <w:pPr>
              <w:jc w:val="center"/>
              <w:rPr>
                <w:lang w:val="en-GB"/>
              </w:rPr>
            </w:pPr>
            <w:r w:rsidRPr="00AB0C4E">
              <w:rPr>
                <w:lang w:val="en-GB"/>
              </w:rPr>
              <w:t>IFRS Standard</w:t>
            </w:r>
          </w:p>
        </w:tc>
        <w:tc>
          <w:tcPr>
            <w:tcW w:w="3260" w:type="dxa"/>
            <w:vAlign w:val="center"/>
          </w:tcPr>
          <w:p w14:paraId="49D59E60" w14:textId="4DE15A31" w:rsidR="006C7FDD" w:rsidRPr="00AB0C4E" w:rsidRDefault="006C7FDD" w:rsidP="006C7FDD">
            <w:pPr>
              <w:jc w:val="center"/>
              <w:rPr>
                <w:lang w:val="en-GB"/>
              </w:rPr>
            </w:pPr>
            <w:r w:rsidRPr="00AB0C4E">
              <w:rPr>
                <w:lang w:val="en-GB"/>
              </w:rPr>
              <w:t xml:space="preserve">Disclosure / </w:t>
            </w:r>
            <w:r w:rsidR="00354A55" w:rsidRPr="00AB0C4E">
              <w:rPr>
                <w:lang w:val="en-GB"/>
              </w:rPr>
              <w:t>P</w:t>
            </w:r>
            <w:r w:rsidRPr="00AB0C4E">
              <w:rPr>
                <w:lang w:val="en-GB"/>
              </w:rPr>
              <w:t xml:space="preserve">resentation </w:t>
            </w:r>
            <w:r w:rsidR="00354A55" w:rsidRPr="00AB0C4E">
              <w:rPr>
                <w:lang w:val="en-GB"/>
              </w:rPr>
              <w:t>R</w:t>
            </w:r>
            <w:r w:rsidRPr="00AB0C4E">
              <w:rPr>
                <w:lang w:val="en-GB"/>
              </w:rPr>
              <w:t>equirement</w:t>
            </w:r>
          </w:p>
        </w:tc>
        <w:tc>
          <w:tcPr>
            <w:tcW w:w="6946" w:type="dxa"/>
            <w:vAlign w:val="center"/>
          </w:tcPr>
          <w:p w14:paraId="23299827" w14:textId="0032B9AC" w:rsidR="006C7FDD" w:rsidRPr="00AB0C4E" w:rsidRDefault="006C7FDD" w:rsidP="006C7FDD">
            <w:pPr>
              <w:jc w:val="center"/>
              <w:rPr>
                <w:lang w:val="en-GB"/>
              </w:rPr>
            </w:pPr>
            <w:r w:rsidRPr="00AB0C4E">
              <w:rPr>
                <w:lang w:val="en-GB"/>
              </w:rPr>
              <w:t>Impact of COVID-19</w:t>
            </w:r>
          </w:p>
        </w:tc>
        <w:tc>
          <w:tcPr>
            <w:tcW w:w="1807" w:type="dxa"/>
            <w:vAlign w:val="center"/>
          </w:tcPr>
          <w:p w14:paraId="767A0884" w14:textId="50687BF0" w:rsidR="006C7FDD" w:rsidRPr="00AB0C4E" w:rsidRDefault="006C7FDD" w:rsidP="00FE5846">
            <w:pPr>
              <w:jc w:val="center"/>
              <w:rPr>
                <w:lang w:val="en-GB"/>
              </w:rPr>
            </w:pPr>
            <w:r w:rsidRPr="00AB0C4E">
              <w:rPr>
                <w:lang w:val="en-GB"/>
              </w:rPr>
              <w:t>Reference to Illustrative Disclosure in Section B</w:t>
            </w:r>
          </w:p>
        </w:tc>
      </w:tr>
      <w:tr w:rsidR="00AB4983" w:rsidRPr="00AB0C4E" w14:paraId="7C3366DC" w14:textId="77777777" w:rsidTr="00B26184">
        <w:tc>
          <w:tcPr>
            <w:tcW w:w="1980" w:type="dxa"/>
            <w:vMerge w:val="restart"/>
            <w:vAlign w:val="center"/>
          </w:tcPr>
          <w:p w14:paraId="1B9584BC" w14:textId="77777777" w:rsidR="00AB4983" w:rsidRDefault="00AB4983" w:rsidP="00576F83">
            <w:pPr>
              <w:jc w:val="center"/>
              <w:rPr>
                <w:i/>
                <w:sz w:val="18"/>
                <w:lang w:val="en-GB"/>
              </w:rPr>
            </w:pPr>
            <w:r w:rsidRPr="00AB0C4E">
              <w:rPr>
                <w:sz w:val="18"/>
                <w:lang w:val="en-GB"/>
              </w:rPr>
              <w:t xml:space="preserve">IAS 1 </w:t>
            </w:r>
            <w:r w:rsidRPr="00AB0C4E">
              <w:rPr>
                <w:i/>
                <w:sz w:val="18"/>
                <w:lang w:val="en-GB"/>
              </w:rPr>
              <w:t>Presentation of Financial Statements</w:t>
            </w:r>
          </w:p>
          <w:p w14:paraId="5A8C3BCF" w14:textId="284D7251" w:rsidR="00AB4983" w:rsidRPr="00AB0C4E" w:rsidRDefault="00AB4983" w:rsidP="00576F83">
            <w:pPr>
              <w:jc w:val="center"/>
              <w:rPr>
                <w:sz w:val="18"/>
                <w:lang w:val="en-GB"/>
              </w:rPr>
            </w:pPr>
          </w:p>
        </w:tc>
        <w:tc>
          <w:tcPr>
            <w:tcW w:w="3260" w:type="dxa"/>
          </w:tcPr>
          <w:p w14:paraId="50DF4FE9" w14:textId="6E5FB275" w:rsidR="00AB4983" w:rsidRPr="00AB0C4E" w:rsidRDefault="00AB4983" w:rsidP="006E22AC">
            <w:pPr>
              <w:rPr>
                <w:sz w:val="18"/>
                <w:lang w:val="en-GB"/>
              </w:rPr>
            </w:pPr>
            <w:r w:rsidRPr="00AB0C4E">
              <w:rPr>
                <w:sz w:val="18"/>
                <w:lang w:val="en-GB"/>
              </w:rPr>
              <w:t>IAS 1.17(c) and 31: to achieve fair presentation, provide additional disclosures when the disclosure requirements of specific IFRSs is insufficient.</w:t>
            </w:r>
          </w:p>
        </w:tc>
        <w:tc>
          <w:tcPr>
            <w:tcW w:w="6946" w:type="dxa"/>
          </w:tcPr>
          <w:p w14:paraId="22098413" w14:textId="25A1B0FD" w:rsidR="00AB4983" w:rsidRPr="00AB0C4E" w:rsidRDefault="00AB4983" w:rsidP="006E22AC">
            <w:pPr>
              <w:rPr>
                <w:sz w:val="18"/>
                <w:lang w:val="en-GB"/>
              </w:rPr>
            </w:pPr>
            <w:r w:rsidRPr="00AB0C4E">
              <w:rPr>
                <w:sz w:val="18"/>
                <w:lang w:val="en-GB"/>
              </w:rPr>
              <w:t xml:space="preserve">Specific IFRSs contain detailed disclosure requirements. In addition to these requirements, to achieve fair presentation, additional disclosures may be required ‘above and beyond’ those specified. Given the widespread impact of COVID-19, the disclosure requirements of </w:t>
            </w:r>
            <w:r>
              <w:rPr>
                <w:sz w:val="18"/>
                <w:lang w:val="en-GB"/>
              </w:rPr>
              <w:t xml:space="preserve">individual </w:t>
            </w:r>
            <w:r w:rsidRPr="00AB0C4E">
              <w:rPr>
                <w:sz w:val="18"/>
                <w:lang w:val="en-GB"/>
              </w:rPr>
              <w:t>IFRSs may not be sufficient, requiring additional disclosures. This requirement, in conjunction with the disclosures around significant judgements and estimates (see IAS 1.122 and 125 below) may significantly increase disclosure in financial statements.</w:t>
            </w:r>
          </w:p>
        </w:tc>
        <w:tc>
          <w:tcPr>
            <w:tcW w:w="1807" w:type="dxa"/>
          </w:tcPr>
          <w:p w14:paraId="621C8BFD" w14:textId="2BAE5AA6" w:rsidR="00AB4983" w:rsidRPr="00AB0C4E" w:rsidRDefault="003F170A" w:rsidP="00FE5846">
            <w:pPr>
              <w:jc w:val="center"/>
              <w:rPr>
                <w:sz w:val="18"/>
                <w:lang w:val="en-GB"/>
              </w:rPr>
            </w:pPr>
            <w:hyperlink w:anchor="B8" w:history="1">
              <w:r w:rsidR="00AB4983" w:rsidRPr="003F170A">
                <w:rPr>
                  <w:rStyle w:val="Hyperlink"/>
                  <w:sz w:val="18"/>
                  <w:lang w:val="en-GB"/>
                </w:rPr>
                <w:t>B.8</w:t>
              </w:r>
            </w:hyperlink>
          </w:p>
        </w:tc>
      </w:tr>
      <w:tr w:rsidR="00AB4983" w:rsidRPr="00AB0C4E" w14:paraId="2D780290" w14:textId="42A5AA63" w:rsidTr="00B26184">
        <w:tc>
          <w:tcPr>
            <w:tcW w:w="1980" w:type="dxa"/>
            <w:vMerge/>
            <w:vAlign w:val="center"/>
          </w:tcPr>
          <w:p w14:paraId="6B6716F9" w14:textId="4F417C2A" w:rsidR="00AB4983" w:rsidRPr="00AB0C4E" w:rsidRDefault="00AB4983" w:rsidP="00576F83">
            <w:pPr>
              <w:jc w:val="center"/>
              <w:rPr>
                <w:i/>
                <w:sz w:val="18"/>
                <w:lang w:val="en-GB"/>
              </w:rPr>
            </w:pPr>
          </w:p>
        </w:tc>
        <w:tc>
          <w:tcPr>
            <w:tcW w:w="3260" w:type="dxa"/>
          </w:tcPr>
          <w:p w14:paraId="6CE93495" w14:textId="6A32B18A" w:rsidR="00AB4983" w:rsidRPr="00AB0C4E" w:rsidRDefault="00AB4983" w:rsidP="006E22AC">
            <w:pPr>
              <w:rPr>
                <w:sz w:val="18"/>
                <w:lang w:val="en-GB"/>
              </w:rPr>
            </w:pPr>
            <w:r w:rsidRPr="00AB0C4E">
              <w:rPr>
                <w:sz w:val="18"/>
                <w:lang w:val="en-GB"/>
              </w:rPr>
              <w:t xml:space="preserve">IAS 1.25: financial statements are prepared on a going concern basis unless management either intends to liquidate, cease trading, or has no realistic alternative but to do so. </w:t>
            </w:r>
          </w:p>
        </w:tc>
        <w:tc>
          <w:tcPr>
            <w:tcW w:w="6946" w:type="dxa"/>
          </w:tcPr>
          <w:p w14:paraId="49932825" w14:textId="316CCD7F" w:rsidR="00AB4983" w:rsidRPr="00AB0C4E" w:rsidRDefault="00AB4983" w:rsidP="006E22AC">
            <w:pPr>
              <w:rPr>
                <w:sz w:val="18"/>
                <w:lang w:val="en-GB"/>
              </w:rPr>
            </w:pPr>
            <w:r w:rsidRPr="00AB0C4E">
              <w:rPr>
                <w:sz w:val="18"/>
                <w:lang w:val="en-GB"/>
              </w:rPr>
              <w:t xml:space="preserve">The effects of COVID-19 have been widespread, resulting in decreases in sales and liquidity for many entities. Uncertainties created by COVID-19 may result in uncertainties relating to an entity’s assessment of its ability to continue as a going concern, some of which may be material uncertainties, requiring disclosure. If the going concern basis of preparation is no longer appropriate, then financial statements are no longer prepared on this basis. </w:t>
            </w:r>
          </w:p>
        </w:tc>
        <w:tc>
          <w:tcPr>
            <w:tcW w:w="1807" w:type="dxa"/>
          </w:tcPr>
          <w:p w14:paraId="68866A4F" w14:textId="308DD856" w:rsidR="00AB4983" w:rsidRPr="00AB0C4E" w:rsidRDefault="00FC10A8" w:rsidP="00FE5846">
            <w:pPr>
              <w:jc w:val="center"/>
              <w:rPr>
                <w:sz w:val="18"/>
                <w:lang w:val="en-GB"/>
              </w:rPr>
            </w:pPr>
            <w:hyperlink w:anchor="B1" w:history="1">
              <w:r w:rsidR="00AB4983" w:rsidRPr="00FC10A8">
                <w:rPr>
                  <w:rStyle w:val="Hyperlink"/>
                  <w:sz w:val="18"/>
                  <w:lang w:val="en-GB"/>
                </w:rPr>
                <w:t>B.1</w:t>
              </w:r>
            </w:hyperlink>
          </w:p>
        </w:tc>
      </w:tr>
      <w:tr w:rsidR="00AB4983" w:rsidRPr="00AB0C4E" w14:paraId="6726CB24" w14:textId="07A94A72" w:rsidTr="00B26184">
        <w:tc>
          <w:tcPr>
            <w:tcW w:w="1980" w:type="dxa"/>
            <w:vMerge/>
          </w:tcPr>
          <w:p w14:paraId="70071019" w14:textId="77777777" w:rsidR="00AB4983" w:rsidRPr="00AB0C4E" w:rsidRDefault="00AB4983" w:rsidP="00576F83">
            <w:pPr>
              <w:jc w:val="center"/>
              <w:rPr>
                <w:sz w:val="18"/>
                <w:lang w:val="en-GB"/>
              </w:rPr>
            </w:pPr>
          </w:p>
        </w:tc>
        <w:tc>
          <w:tcPr>
            <w:tcW w:w="3260" w:type="dxa"/>
          </w:tcPr>
          <w:p w14:paraId="5A017B5A" w14:textId="30057AB1" w:rsidR="00AB4983" w:rsidRPr="00AB0C4E" w:rsidRDefault="00AB4983" w:rsidP="006E22AC">
            <w:pPr>
              <w:rPr>
                <w:sz w:val="18"/>
                <w:lang w:val="en-GB"/>
              </w:rPr>
            </w:pPr>
            <w:r w:rsidRPr="00AB0C4E">
              <w:rPr>
                <w:sz w:val="18"/>
                <w:lang w:val="en-GB"/>
              </w:rPr>
              <w:t xml:space="preserve">IAS 1.69: an entity shall classify liabilities as current liabilities unless one of IAS 1.69(a)-(d) apply. </w:t>
            </w:r>
          </w:p>
        </w:tc>
        <w:tc>
          <w:tcPr>
            <w:tcW w:w="6946" w:type="dxa"/>
          </w:tcPr>
          <w:p w14:paraId="18E98846" w14:textId="14A5F046" w:rsidR="00AB4983" w:rsidRDefault="00AB4983" w:rsidP="006E22AC">
            <w:pPr>
              <w:rPr>
                <w:sz w:val="18"/>
                <w:lang w:val="en-GB"/>
              </w:rPr>
            </w:pPr>
            <w:r>
              <w:rPr>
                <w:sz w:val="18"/>
                <w:lang w:val="en-GB"/>
              </w:rPr>
              <w:t>L</w:t>
            </w:r>
            <w:r w:rsidRPr="00AB0C4E">
              <w:rPr>
                <w:sz w:val="18"/>
                <w:lang w:val="en-GB"/>
              </w:rPr>
              <w:t xml:space="preserve">iabilities are presented as current unless one of four criteria in IAS 1.69 are satisfied. The effects of COVID-19 may affect an entity’s unconditional right to defer settlement of certain liabilities (e.g. covenants attached to bank loans), resulting in them being classified as current liabilities. Note that the analysis in this document is based on the existing requirements of IAS 1. Amendments to the classification requirements of liabilities have been made, however, they are effective for annual reporting periods beginning on or after 1 January 2023. </w:t>
            </w:r>
            <w:hyperlink r:id="rId27" w:anchor="/" w:history="1">
              <w:r w:rsidRPr="00AB0C4E">
                <w:rPr>
                  <w:rStyle w:val="Hyperlink"/>
                  <w:sz w:val="18"/>
                  <w:lang w:val="en-GB"/>
                </w:rPr>
                <w:t>Click here</w:t>
              </w:r>
            </w:hyperlink>
            <w:r w:rsidRPr="00AB0C4E">
              <w:rPr>
                <w:sz w:val="18"/>
                <w:lang w:val="en-GB"/>
              </w:rPr>
              <w:t xml:space="preserve"> for further information. </w:t>
            </w:r>
          </w:p>
          <w:p w14:paraId="53A4EDFD" w14:textId="1D9CBDC8" w:rsidR="00AB4983" w:rsidRDefault="00AB4983" w:rsidP="006E22AC">
            <w:pPr>
              <w:rPr>
                <w:sz w:val="18"/>
                <w:lang w:val="en-GB"/>
              </w:rPr>
            </w:pPr>
          </w:p>
          <w:p w14:paraId="21296DDC" w14:textId="77777777" w:rsidR="00AB4983" w:rsidRPr="00AB0C4E" w:rsidRDefault="00AB4983" w:rsidP="006E22AC">
            <w:pPr>
              <w:rPr>
                <w:sz w:val="18"/>
                <w:lang w:val="en-GB"/>
              </w:rPr>
            </w:pPr>
          </w:p>
          <w:p w14:paraId="5512675B" w14:textId="77777777" w:rsidR="00AB4983" w:rsidRPr="00AB0C4E" w:rsidRDefault="00AB4983" w:rsidP="006E22AC">
            <w:pPr>
              <w:rPr>
                <w:sz w:val="18"/>
                <w:lang w:val="en-GB"/>
              </w:rPr>
            </w:pPr>
          </w:p>
          <w:p w14:paraId="05E617AC" w14:textId="521D9CBA" w:rsidR="00AB4983" w:rsidRPr="00AB0C4E" w:rsidRDefault="00AB4983" w:rsidP="006E22AC">
            <w:pPr>
              <w:rPr>
                <w:sz w:val="18"/>
                <w:lang w:val="en-GB"/>
              </w:rPr>
            </w:pPr>
          </w:p>
        </w:tc>
        <w:tc>
          <w:tcPr>
            <w:tcW w:w="1807" w:type="dxa"/>
          </w:tcPr>
          <w:p w14:paraId="0499A08E" w14:textId="656BA82F" w:rsidR="00AB4983" w:rsidRPr="00AB0C4E" w:rsidRDefault="003F170A" w:rsidP="00FE5846">
            <w:pPr>
              <w:jc w:val="center"/>
              <w:rPr>
                <w:sz w:val="18"/>
                <w:lang w:val="en-GB"/>
              </w:rPr>
            </w:pPr>
            <w:hyperlink w:anchor="B2" w:history="1">
              <w:r w:rsidR="00AB4983" w:rsidRPr="003F170A">
                <w:rPr>
                  <w:rStyle w:val="Hyperlink"/>
                  <w:sz w:val="18"/>
                  <w:lang w:val="en-GB"/>
                </w:rPr>
                <w:t>B.2</w:t>
              </w:r>
            </w:hyperlink>
          </w:p>
        </w:tc>
      </w:tr>
      <w:tr w:rsidR="00AB4983" w:rsidRPr="00AB0C4E" w14:paraId="5CE456B0" w14:textId="77777777" w:rsidTr="00E34B15">
        <w:tc>
          <w:tcPr>
            <w:tcW w:w="0" w:type="dxa"/>
            <w:vMerge w:val="restart"/>
            <w:vAlign w:val="center"/>
          </w:tcPr>
          <w:p w14:paraId="3A27F918" w14:textId="77777777" w:rsidR="00AB4983" w:rsidRDefault="00AB4983" w:rsidP="00AB4983">
            <w:pPr>
              <w:jc w:val="center"/>
              <w:rPr>
                <w:i/>
                <w:sz w:val="18"/>
                <w:lang w:val="en-GB"/>
              </w:rPr>
            </w:pPr>
            <w:r w:rsidRPr="00AB0C4E">
              <w:rPr>
                <w:sz w:val="18"/>
                <w:lang w:val="en-GB"/>
              </w:rPr>
              <w:lastRenderedPageBreak/>
              <w:t xml:space="preserve">IAS 1 </w:t>
            </w:r>
            <w:r w:rsidRPr="00AB0C4E">
              <w:rPr>
                <w:i/>
                <w:sz w:val="18"/>
                <w:lang w:val="en-GB"/>
              </w:rPr>
              <w:t>Presentation of Financial Statements</w:t>
            </w:r>
          </w:p>
          <w:p w14:paraId="65DB0B8D" w14:textId="77777777" w:rsidR="00AB4983" w:rsidRPr="00AB0C4E" w:rsidRDefault="00AB4983" w:rsidP="00AB4983">
            <w:pPr>
              <w:jc w:val="center"/>
              <w:rPr>
                <w:sz w:val="18"/>
                <w:lang w:val="en-GB"/>
              </w:rPr>
            </w:pPr>
          </w:p>
        </w:tc>
        <w:tc>
          <w:tcPr>
            <w:tcW w:w="0" w:type="dxa"/>
          </w:tcPr>
          <w:p w14:paraId="1F570F0B" w14:textId="4864C1EC" w:rsidR="00AB4983" w:rsidRPr="00AB0C4E" w:rsidRDefault="00AB4983" w:rsidP="00AB4983">
            <w:pPr>
              <w:rPr>
                <w:sz w:val="18"/>
                <w:lang w:val="en-GB"/>
              </w:rPr>
            </w:pPr>
            <w:r w:rsidRPr="00AB0C4E">
              <w:rPr>
                <w:sz w:val="18"/>
                <w:lang w:val="en-GB"/>
              </w:rPr>
              <w:t xml:space="preserve">IAS 1.85 and 85A: present additional line items in statement of profit or loss and </w:t>
            </w:r>
            <w:proofErr w:type="spellStart"/>
            <w:r w:rsidRPr="00AB0C4E">
              <w:rPr>
                <w:sz w:val="18"/>
                <w:lang w:val="en-GB"/>
              </w:rPr>
              <w:t>OCI</w:t>
            </w:r>
            <w:proofErr w:type="spellEnd"/>
            <w:r w:rsidRPr="00AB0C4E">
              <w:rPr>
                <w:sz w:val="18"/>
                <w:lang w:val="en-GB"/>
              </w:rPr>
              <w:t xml:space="preserve"> when such presentation is relevant to an understanding of the entity’s financial performance.  </w:t>
            </w:r>
          </w:p>
        </w:tc>
        <w:tc>
          <w:tcPr>
            <w:tcW w:w="0" w:type="dxa"/>
          </w:tcPr>
          <w:p w14:paraId="69E8E545" w14:textId="2B833DF9" w:rsidR="00AB4983" w:rsidRPr="00AB0C4E" w:rsidRDefault="00AB4983" w:rsidP="00AB4983">
            <w:pPr>
              <w:rPr>
                <w:sz w:val="18"/>
                <w:lang w:val="en-GB"/>
              </w:rPr>
            </w:pPr>
            <w:r w:rsidRPr="00AB0C4E">
              <w:rPr>
                <w:sz w:val="18"/>
                <w:lang w:val="en-GB"/>
              </w:rPr>
              <w:t xml:space="preserve">Entities may wish to present additional line items and/or sub-totals in the statement of profit or loss to explain the effects of COVID-19 in comparison to prior periods. As emphasised by regulators worldwide, such line items may only be presented if they are made up of amounts recognised and measured in accordance with IFRS </w:t>
            </w:r>
            <w:r>
              <w:rPr>
                <w:sz w:val="18"/>
                <w:lang w:val="en-GB"/>
              </w:rPr>
              <w:t xml:space="preserve">and </w:t>
            </w:r>
            <w:r w:rsidRPr="00AB0C4E">
              <w:rPr>
                <w:sz w:val="18"/>
                <w:lang w:val="en-GB"/>
              </w:rPr>
              <w:t xml:space="preserve">are consistent from period to period and are not displayed with more prominence than totals and subtotals required by IFRS. Presentation of pro forma figures (e.g. sales adjusted </w:t>
            </w:r>
            <w:r>
              <w:rPr>
                <w:sz w:val="18"/>
                <w:lang w:val="en-GB"/>
              </w:rPr>
              <w:t>as if the</w:t>
            </w:r>
            <w:r w:rsidRPr="00AB0C4E">
              <w:rPr>
                <w:sz w:val="18"/>
                <w:lang w:val="en-GB"/>
              </w:rPr>
              <w:t xml:space="preserve"> COVID-19 </w:t>
            </w:r>
            <w:r>
              <w:rPr>
                <w:sz w:val="18"/>
                <w:lang w:val="en-GB"/>
              </w:rPr>
              <w:t>had not occurred</w:t>
            </w:r>
            <w:r w:rsidRPr="00AB0C4E">
              <w:rPr>
                <w:sz w:val="18"/>
                <w:lang w:val="en-GB"/>
              </w:rPr>
              <w:t>) is not acceptable as such figures are not comprised of amounts recognised and measured in accordance with IFRS. Additionally, presenting ‘incremental’ expenses (i.e. the increase in certain expenses that occurred due to COVID-19) may not be appropriate since an incremental figure requires an entity to estimate what expenses would have been if not for COVID-19, which is not historical financial information.</w:t>
            </w:r>
          </w:p>
        </w:tc>
        <w:tc>
          <w:tcPr>
            <w:tcW w:w="0" w:type="dxa"/>
          </w:tcPr>
          <w:p w14:paraId="26B084D3" w14:textId="00DC5FB9" w:rsidR="00AB4983" w:rsidRPr="00AB0C4E" w:rsidRDefault="003F170A" w:rsidP="00AB4983">
            <w:pPr>
              <w:jc w:val="center"/>
              <w:rPr>
                <w:sz w:val="18"/>
                <w:lang w:val="en-GB"/>
              </w:rPr>
            </w:pPr>
            <w:hyperlink w:anchor="B3" w:history="1">
              <w:r w:rsidR="00AB4983" w:rsidRPr="003F170A">
                <w:rPr>
                  <w:rStyle w:val="Hyperlink"/>
                  <w:sz w:val="18"/>
                  <w:lang w:val="en-GB"/>
                </w:rPr>
                <w:t>B.3</w:t>
              </w:r>
            </w:hyperlink>
          </w:p>
        </w:tc>
      </w:tr>
      <w:tr w:rsidR="00AB4983" w:rsidRPr="00AB0C4E" w14:paraId="05EC33D6" w14:textId="77777777" w:rsidTr="00B26184">
        <w:tc>
          <w:tcPr>
            <w:tcW w:w="1980" w:type="dxa"/>
            <w:vMerge/>
          </w:tcPr>
          <w:p w14:paraId="03DE6AE3" w14:textId="77777777" w:rsidR="00AB4983" w:rsidRPr="00AB0C4E" w:rsidRDefault="00AB4983" w:rsidP="00AB4983">
            <w:pPr>
              <w:jc w:val="center"/>
              <w:rPr>
                <w:sz w:val="18"/>
                <w:lang w:val="en-GB"/>
              </w:rPr>
            </w:pPr>
          </w:p>
        </w:tc>
        <w:tc>
          <w:tcPr>
            <w:tcW w:w="3260" w:type="dxa"/>
          </w:tcPr>
          <w:p w14:paraId="06B727A9" w14:textId="139EB005" w:rsidR="00AB4983" w:rsidRPr="00AB0C4E" w:rsidRDefault="00AB4983" w:rsidP="00AB4983">
            <w:pPr>
              <w:rPr>
                <w:sz w:val="18"/>
                <w:lang w:val="en-GB"/>
              </w:rPr>
            </w:pPr>
            <w:r w:rsidRPr="00AB0C4E">
              <w:rPr>
                <w:sz w:val="18"/>
                <w:lang w:val="en-GB"/>
              </w:rPr>
              <w:t>IAS 1.122 and 125: disclose significant judgements and estimate</w:t>
            </w:r>
            <w:r>
              <w:rPr>
                <w:sz w:val="18"/>
                <w:lang w:val="en-GB"/>
              </w:rPr>
              <w:t>s</w:t>
            </w:r>
            <w:r w:rsidRPr="00AB0C4E">
              <w:rPr>
                <w:sz w:val="18"/>
                <w:lang w:val="en-GB"/>
              </w:rPr>
              <w:t xml:space="preserve"> made in the process of applying the entity’s accounting policies.  </w:t>
            </w:r>
          </w:p>
        </w:tc>
        <w:tc>
          <w:tcPr>
            <w:tcW w:w="6946" w:type="dxa"/>
          </w:tcPr>
          <w:p w14:paraId="3B7943C7" w14:textId="64ED45CF" w:rsidR="00AB4983" w:rsidRPr="00AB0C4E" w:rsidRDefault="00AB4983" w:rsidP="00AB4983">
            <w:pPr>
              <w:rPr>
                <w:sz w:val="18"/>
                <w:lang w:val="en-GB"/>
              </w:rPr>
            </w:pPr>
            <w:r w:rsidRPr="00AB0C4E">
              <w:rPr>
                <w:sz w:val="18"/>
                <w:lang w:val="en-GB"/>
              </w:rPr>
              <w:t>The uncertainty created by COVID-19 may require entities to make significant judgements and estimates above and beyond those required in the past. Many financial reporting implications of COVID-19 (e.g. impairment calculations in the scope of IAS 36 and IFRS 9, provisions, fair value measurement, etc.) may require the use of more judgement and higher degrees of estimation uncertainty. Such judgements and estimates must be disclosed if significant. In disclosing significant estimates, entities must consider disclosures beyond those required by specific IFRS</w:t>
            </w:r>
            <w:r>
              <w:rPr>
                <w:sz w:val="18"/>
                <w:lang w:val="en-GB"/>
              </w:rPr>
              <w:t>s</w:t>
            </w:r>
            <w:r w:rsidRPr="00AB0C4E">
              <w:rPr>
                <w:sz w:val="18"/>
                <w:lang w:val="en-GB"/>
              </w:rPr>
              <w:t>. For example, if an entity determines that the recoverable amount of</w:t>
            </w:r>
            <w:r>
              <w:rPr>
                <w:sz w:val="18"/>
                <w:lang w:val="en-GB"/>
              </w:rPr>
              <w:t xml:space="preserve"> a</w:t>
            </w:r>
            <w:r w:rsidRPr="00AB0C4E">
              <w:rPr>
                <w:sz w:val="18"/>
                <w:lang w:val="en-GB"/>
              </w:rPr>
              <w:t xml:space="preserve"> cash-generating unit exceeds </w:t>
            </w:r>
            <w:r>
              <w:rPr>
                <w:sz w:val="18"/>
                <w:lang w:val="en-GB"/>
              </w:rPr>
              <w:t xml:space="preserve">its </w:t>
            </w:r>
            <w:r w:rsidRPr="00AB0C4E">
              <w:rPr>
                <w:sz w:val="18"/>
                <w:lang w:val="en-GB"/>
              </w:rPr>
              <w:t xml:space="preserve">carrying </w:t>
            </w:r>
            <w:r>
              <w:rPr>
                <w:sz w:val="18"/>
                <w:lang w:val="en-GB"/>
              </w:rPr>
              <w:t>amount</w:t>
            </w:r>
            <w:r w:rsidRPr="00AB0C4E">
              <w:rPr>
                <w:sz w:val="18"/>
                <w:lang w:val="en-GB"/>
              </w:rPr>
              <w:t xml:space="preserve">, impairment would not be recorded, however, disclosure of the significant estimates made in arriving at that conclusion may be required by IAS 1, despite the fact that none of the specific disclosures in IAS 36 are triggered. </w:t>
            </w:r>
          </w:p>
        </w:tc>
        <w:tc>
          <w:tcPr>
            <w:tcW w:w="1807" w:type="dxa"/>
          </w:tcPr>
          <w:p w14:paraId="362A0AC7" w14:textId="62EC157F" w:rsidR="00AB4983" w:rsidRPr="00AB0C4E" w:rsidRDefault="003F170A" w:rsidP="00AB4983">
            <w:pPr>
              <w:jc w:val="center"/>
              <w:rPr>
                <w:sz w:val="18"/>
                <w:lang w:val="en-GB"/>
              </w:rPr>
            </w:pPr>
            <w:hyperlink w:anchor="B4" w:history="1">
              <w:r w:rsidR="00AB4983" w:rsidRPr="003F170A">
                <w:rPr>
                  <w:rStyle w:val="Hyperlink"/>
                  <w:sz w:val="18"/>
                  <w:lang w:val="en-GB"/>
                </w:rPr>
                <w:t>B.4</w:t>
              </w:r>
            </w:hyperlink>
          </w:p>
        </w:tc>
      </w:tr>
      <w:tr w:rsidR="00AB4983" w:rsidRPr="00AB0C4E" w14:paraId="7A9D7035" w14:textId="77777777" w:rsidTr="00B26184">
        <w:tc>
          <w:tcPr>
            <w:tcW w:w="1980" w:type="dxa"/>
          </w:tcPr>
          <w:p w14:paraId="649D6E72" w14:textId="57CFF1D1" w:rsidR="00AB4983" w:rsidRPr="00AB0C4E" w:rsidRDefault="00AB4983" w:rsidP="00AB4983">
            <w:pPr>
              <w:jc w:val="center"/>
              <w:rPr>
                <w:sz w:val="18"/>
                <w:lang w:val="en-GB"/>
              </w:rPr>
            </w:pPr>
            <w:r w:rsidRPr="00AB0C4E">
              <w:rPr>
                <w:sz w:val="18"/>
                <w:lang w:val="en-GB"/>
              </w:rPr>
              <w:lastRenderedPageBreak/>
              <w:t xml:space="preserve">IAS 2 </w:t>
            </w:r>
            <w:r w:rsidRPr="00AB0C4E">
              <w:rPr>
                <w:i/>
                <w:sz w:val="18"/>
                <w:lang w:val="en-GB"/>
              </w:rPr>
              <w:t>Inventories</w:t>
            </w:r>
          </w:p>
        </w:tc>
        <w:tc>
          <w:tcPr>
            <w:tcW w:w="3260" w:type="dxa"/>
          </w:tcPr>
          <w:p w14:paraId="06A30999" w14:textId="05464071" w:rsidR="00AB4983" w:rsidRPr="00AB0C4E" w:rsidRDefault="00AB4983" w:rsidP="00AB4983">
            <w:pPr>
              <w:rPr>
                <w:sz w:val="18"/>
                <w:lang w:val="en-GB"/>
              </w:rPr>
            </w:pPr>
            <w:r w:rsidRPr="00AB0C4E">
              <w:rPr>
                <w:sz w:val="18"/>
                <w:lang w:val="en-GB"/>
              </w:rPr>
              <w:t xml:space="preserve">IAS 2.36(e): disclose any write-down of inventories recognised as an expense in the period. </w:t>
            </w:r>
          </w:p>
        </w:tc>
        <w:tc>
          <w:tcPr>
            <w:tcW w:w="6946" w:type="dxa"/>
          </w:tcPr>
          <w:p w14:paraId="37B3E190" w14:textId="3394AD58" w:rsidR="00AB4983" w:rsidRPr="00AB0C4E" w:rsidRDefault="00AB4983" w:rsidP="00AB4983">
            <w:pPr>
              <w:rPr>
                <w:sz w:val="18"/>
                <w:lang w:val="en-GB"/>
              </w:rPr>
            </w:pPr>
            <w:r w:rsidRPr="00AB0C4E">
              <w:rPr>
                <w:sz w:val="18"/>
                <w:lang w:val="en-GB"/>
              </w:rPr>
              <w:t>The effects of COVID-19 may result in an entity being unable to sell its inventories entirely due to lockdown or local restrictions, or demand for certain goods may decrease. This may result in increased inventory write-downs if their net realisable values are lower than cost.</w:t>
            </w:r>
          </w:p>
        </w:tc>
        <w:tc>
          <w:tcPr>
            <w:tcW w:w="1807" w:type="dxa"/>
          </w:tcPr>
          <w:p w14:paraId="0AE126E2" w14:textId="7F7AC150" w:rsidR="00AB4983" w:rsidRPr="00AB0C4E" w:rsidRDefault="00AB4983" w:rsidP="00AB4983">
            <w:pPr>
              <w:jc w:val="center"/>
              <w:rPr>
                <w:sz w:val="18"/>
                <w:lang w:val="en-GB"/>
              </w:rPr>
            </w:pPr>
            <w:r>
              <w:rPr>
                <w:sz w:val="18"/>
                <w:lang w:val="en-GB"/>
              </w:rPr>
              <w:t>N/A</w:t>
            </w:r>
          </w:p>
        </w:tc>
      </w:tr>
      <w:tr w:rsidR="00AB4983" w:rsidRPr="00AB0C4E" w14:paraId="0564642E" w14:textId="77777777" w:rsidTr="00B26184">
        <w:tc>
          <w:tcPr>
            <w:tcW w:w="1980" w:type="dxa"/>
          </w:tcPr>
          <w:p w14:paraId="0EEFA57B" w14:textId="2B9E2E4D" w:rsidR="00AB4983" w:rsidRPr="00AB0C4E" w:rsidRDefault="00AB4983" w:rsidP="00AB4983">
            <w:pPr>
              <w:jc w:val="center"/>
              <w:rPr>
                <w:sz w:val="18"/>
                <w:lang w:val="en-GB"/>
              </w:rPr>
            </w:pPr>
            <w:r w:rsidRPr="00AB0C4E">
              <w:rPr>
                <w:sz w:val="18"/>
                <w:lang w:val="en-GB"/>
              </w:rPr>
              <w:t xml:space="preserve">IAS 7 </w:t>
            </w:r>
            <w:r w:rsidRPr="00AB0C4E">
              <w:rPr>
                <w:i/>
                <w:sz w:val="18"/>
                <w:lang w:val="en-GB"/>
              </w:rPr>
              <w:t>Statement of Cash Flows</w:t>
            </w:r>
          </w:p>
        </w:tc>
        <w:tc>
          <w:tcPr>
            <w:tcW w:w="3260" w:type="dxa"/>
          </w:tcPr>
          <w:p w14:paraId="1AAC079F" w14:textId="40DCD3F1" w:rsidR="00AB4983" w:rsidRPr="00AB0C4E" w:rsidRDefault="00AB4983" w:rsidP="00AB4983">
            <w:pPr>
              <w:rPr>
                <w:sz w:val="18"/>
                <w:lang w:val="en-GB"/>
              </w:rPr>
            </w:pPr>
            <w:r w:rsidRPr="00AB0C4E">
              <w:rPr>
                <w:sz w:val="18"/>
                <w:lang w:val="en-GB"/>
              </w:rPr>
              <w:t xml:space="preserve">IAS 7.44A: disclose information about the changes in liabilities arising from financing activities, including changes from cash flows and non-cash changes. </w:t>
            </w:r>
          </w:p>
        </w:tc>
        <w:tc>
          <w:tcPr>
            <w:tcW w:w="6946" w:type="dxa"/>
          </w:tcPr>
          <w:p w14:paraId="54AD317B" w14:textId="1761550A" w:rsidR="00AB4983" w:rsidRPr="00AB0C4E" w:rsidRDefault="00AB4983" w:rsidP="00AB4983">
            <w:pPr>
              <w:rPr>
                <w:sz w:val="18"/>
                <w:lang w:val="en-GB"/>
              </w:rPr>
            </w:pPr>
            <w:r w:rsidRPr="00AB0C4E">
              <w:rPr>
                <w:sz w:val="18"/>
                <w:lang w:val="en-GB"/>
              </w:rPr>
              <w:t>The effects of COVID-19 may result in entities refinancing financial liabilities, entering into forbearance arrangements, renegotiating leases and/or other transactions that result in non-cash changes to the carrying values of liabilities. IAS 7 requires an entity to disclose changes in liabilities arising from financing activities, including both changes arising from cash flows and non-cash changes. This disclosure is most often made in tabular format. This disclosure may need to be updated to reflect the changes in liabilities noted above.</w:t>
            </w:r>
          </w:p>
        </w:tc>
        <w:tc>
          <w:tcPr>
            <w:tcW w:w="1807" w:type="dxa"/>
          </w:tcPr>
          <w:p w14:paraId="135029E8" w14:textId="602CEDB9" w:rsidR="00AB4983" w:rsidRPr="00AB0C4E" w:rsidRDefault="00AB4983" w:rsidP="00AB4983">
            <w:pPr>
              <w:jc w:val="center"/>
              <w:rPr>
                <w:sz w:val="18"/>
                <w:lang w:val="en-GB"/>
              </w:rPr>
            </w:pPr>
            <w:r>
              <w:rPr>
                <w:sz w:val="18"/>
                <w:lang w:val="en-GB"/>
              </w:rPr>
              <w:t>N/A</w:t>
            </w:r>
          </w:p>
        </w:tc>
      </w:tr>
      <w:tr w:rsidR="00AB4983" w:rsidRPr="00AB0C4E" w14:paraId="28A5B3CD" w14:textId="77777777" w:rsidTr="00B26184">
        <w:tc>
          <w:tcPr>
            <w:tcW w:w="1980" w:type="dxa"/>
            <w:vMerge w:val="restart"/>
            <w:vAlign w:val="center"/>
          </w:tcPr>
          <w:p w14:paraId="3DDB86B5" w14:textId="1B27234D" w:rsidR="00AB4983" w:rsidRPr="00AB0C4E" w:rsidRDefault="00AB4983" w:rsidP="00AB4983">
            <w:pPr>
              <w:jc w:val="center"/>
              <w:rPr>
                <w:i/>
                <w:iCs/>
                <w:sz w:val="18"/>
                <w:lang w:val="en-GB"/>
              </w:rPr>
            </w:pPr>
            <w:r w:rsidRPr="00AB0C4E">
              <w:rPr>
                <w:sz w:val="18"/>
                <w:lang w:val="en-GB"/>
              </w:rPr>
              <w:t xml:space="preserve">IAS 10 </w:t>
            </w:r>
            <w:r w:rsidRPr="00AB0C4E">
              <w:rPr>
                <w:i/>
                <w:iCs/>
                <w:sz w:val="18"/>
                <w:lang w:val="en-GB"/>
              </w:rPr>
              <w:t>Events after the Reporting Period</w:t>
            </w:r>
          </w:p>
        </w:tc>
        <w:tc>
          <w:tcPr>
            <w:tcW w:w="3260" w:type="dxa"/>
          </w:tcPr>
          <w:p w14:paraId="29CBA86B" w14:textId="0DB0A64C" w:rsidR="00AB4983" w:rsidRPr="00AB0C4E" w:rsidRDefault="00AB4983" w:rsidP="00AB4983">
            <w:pPr>
              <w:rPr>
                <w:sz w:val="18"/>
                <w:lang w:val="en-GB"/>
              </w:rPr>
            </w:pPr>
            <w:r w:rsidRPr="00AB0C4E">
              <w:rPr>
                <w:sz w:val="18"/>
                <w:lang w:val="en-GB"/>
              </w:rPr>
              <w:t>IAS 10.19: update disclosures for information received after the reporting period about conditions that existed at the end of the reporting period.</w:t>
            </w:r>
          </w:p>
        </w:tc>
        <w:tc>
          <w:tcPr>
            <w:tcW w:w="6946" w:type="dxa"/>
          </w:tcPr>
          <w:p w14:paraId="0508E279" w14:textId="03690F73" w:rsidR="00AB4983" w:rsidRPr="00AB0C4E" w:rsidRDefault="00AB4983" w:rsidP="00AB4983">
            <w:pPr>
              <w:rPr>
                <w:sz w:val="18"/>
                <w:lang w:val="en-GB"/>
              </w:rPr>
            </w:pPr>
            <w:r w:rsidRPr="00AB0C4E">
              <w:rPr>
                <w:sz w:val="18"/>
                <w:lang w:val="en-GB"/>
              </w:rPr>
              <w:t>The effects of COVID-19 (and mitigating factors, such as vaccine development) are occurring rapidly, therefore, events after the reporting period may give rise to adjusting subsequent events requiring adjustment</w:t>
            </w:r>
            <w:r>
              <w:rPr>
                <w:sz w:val="18"/>
                <w:lang w:val="en-GB"/>
              </w:rPr>
              <w:t>s</w:t>
            </w:r>
            <w:r w:rsidRPr="00AB0C4E">
              <w:rPr>
                <w:sz w:val="18"/>
                <w:lang w:val="en-GB"/>
              </w:rPr>
              <w:t xml:space="preserve"> to period end results (i.e. those that provide</w:t>
            </w:r>
            <w:r>
              <w:rPr>
                <w:sz w:val="18"/>
                <w:lang w:val="en-GB"/>
              </w:rPr>
              <w:t xml:space="preserve"> additional</w:t>
            </w:r>
            <w:r w:rsidRPr="00AB0C4E">
              <w:rPr>
                <w:sz w:val="18"/>
                <w:lang w:val="en-GB"/>
              </w:rPr>
              <w:t xml:space="preserve"> information about conditions</w:t>
            </w:r>
            <w:r>
              <w:rPr>
                <w:sz w:val="18"/>
                <w:lang w:val="en-GB"/>
              </w:rPr>
              <w:t xml:space="preserve"> that existed</w:t>
            </w:r>
            <w:r w:rsidRPr="00AB0C4E">
              <w:rPr>
                <w:sz w:val="18"/>
                <w:lang w:val="en-GB"/>
              </w:rPr>
              <w:t xml:space="preserve"> as at the balance sheet date). Additionally, information obtained after period end may not be adjusting in nature, however, based on the information obtained, it may be appropriate to consider in light of that information, whether assumptions made at period end were complete and appropriately weighted in the case where multiple scenarios may be probability weighted (e.g. expected credit loss, value-in-use calculations, etc.). </w:t>
            </w:r>
          </w:p>
        </w:tc>
        <w:tc>
          <w:tcPr>
            <w:tcW w:w="1807" w:type="dxa"/>
          </w:tcPr>
          <w:p w14:paraId="40E4E804" w14:textId="38087C47" w:rsidR="00AB4983" w:rsidRPr="00AB0C4E" w:rsidRDefault="003F170A" w:rsidP="00AB4983">
            <w:pPr>
              <w:jc w:val="center"/>
              <w:rPr>
                <w:sz w:val="18"/>
                <w:lang w:val="en-GB"/>
              </w:rPr>
            </w:pPr>
            <w:hyperlink w:anchor="B5" w:history="1">
              <w:r w:rsidR="00AB4983" w:rsidRPr="003F170A">
                <w:rPr>
                  <w:rStyle w:val="Hyperlink"/>
                  <w:sz w:val="18"/>
                  <w:lang w:val="en-GB"/>
                </w:rPr>
                <w:t>B.5</w:t>
              </w:r>
            </w:hyperlink>
          </w:p>
        </w:tc>
      </w:tr>
      <w:tr w:rsidR="00AB4983" w:rsidRPr="00AB0C4E" w14:paraId="06FD2B2C" w14:textId="77777777" w:rsidTr="00B26184">
        <w:tc>
          <w:tcPr>
            <w:tcW w:w="1980" w:type="dxa"/>
            <w:vMerge/>
          </w:tcPr>
          <w:p w14:paraId="3158DA7D" w14:textId="77777777" w:rsidR="00AB4983" w:rsidRPr="00AB0C4E" w:rsidRDefault="00AB4983" w:rsidP="00AB4983">
            <w:pPr>
              <w:jc w:val="center"/>
              <w:rPr>
                <w:sz w:val="18"/>
                <w:lang w:val="en-GB"/>
              </w:rPr>
            </w:pPr>
          </w:p>
        </w:tc>
        <w:tc>
          <w:tcPr>
            <w:tcW w:w="3260" w:type="dxa"/>
          </w:tcPr>
          <w:p w14:paraId="38C2BF9B" w14:textId="2EDC52B6" w:rsidR="00AB4983" w:rsidRPr="00AB0C4E" w:rsidRDefault="00AB4983" w:rsidP="00AB4983">
            <w:pPr>
              <w:rPr>
                <w:sz w:val="18"/>
                <w:lang w:val="en-GB"/>
              </w:rPr>
            </w:pPr>
            <w:r w:rsidRPr="00AB0C4E">
              <w:rPr>
                <w:sz w:val="18"/>
                <w:lang w:val="en-GB"/>
              </w:rPr>
              <w:t xml:space="preserve">IAS 10.21: disclose information about non-adjusting events occurring after the reporting period that are material if non-disclosure could reasonably be expected to influence decisions. </w:t>
            </w:r>
          </w:p>
        </w:tc>
        <w:tc>
          <w:tcPr>
            <w:tcW w:w="6946" w:type="dxa"/>
          </w:tcPr>
          <w:p w14:paraId="223D811D" w14:textId="7A63AB0F" w:rsidR="00AB4983" w:rsidRPr="00AB0C4E" w:rsidRDefault="00AB4983" w:rsidP="00AB4983">
            <w:pPr>
              <w:rPr>
                <w:sz w:val="18"/>
                <w:lang w:val="en-GB"/>
              </w:rPr>
            </w:pPr>
            <w:r w:rsidRPr="00AB0C4E">
              <w:rPr>
                <w:sz w:val="18"/>
                <w:lang w:val="en-GB"/>
              </w:rPr>
              <w:t xml:space="preserve">In contrast to adjusting events occurring after the reporting period (see above), information may be obtained after the reporting period relating to COVID-19 (e.g. its financial effects and mitigating factors such as vaccine development), which does not relate to conditions as at the balance sheet date. If this information could reasonably be expected to influence decisions, such information should be disclosed. </w:t>
            </w:r>
          </w:p>
        </w:tc>
        <w:tc>
          <w:tcPr>
            <w:tcW w:w="1807" w:type="dxa"/>
          </w:tcPr>
          <w:p w14:paraId="2C8F0D47" w14:textId="529810BF" w:rsidR="00AB4983" w:rsidRPr="00AB0C4E" w:rsidRDefault="003F170A" w:rsidP="00AB4983">
            <w:pPr>
              <w:jc w:val="center"/>
              <w:rPr>
                <w:sz w:val="18"/>
                <w:lang w:val="en-GB"/>
              </w:rPr>
            </w:pPr>
            <w:hyperlink w:anchor="B5" w:history="1">
              <w:r w:rsidR="00AB4983" w:rsidRPr="003F170A">
                <w:rPr>
                  <w:rStyle w:val="Hyperlink"/>
                  <w:sz w:val="18"/>
                  <w:lang w:val="en-GB"/>
                </w:rPr>
                <w:t>B.5</w:t>
              </w:r>
            </w:hyperlink>
          </w:p>
        </w:tc>
      </w:tr>
      <w:tr w:rsidR="00AB4983" w:rsidRPr="00AB0C4E" w14:paraId="368A420B" w14:textId="77777777" w:rsidTr="00B26184">
        <w:tc>
          <w:tcPr>
            <w:tcW w:w="1980" w:type="dxa"/>
          </w:tcPr>
          <w:p w14:paraId="53C0213E" w14:textId="4BAB8D58" w:rsidR="00AB4983" w:rsidRPr="00AB0C4E" w:rsidRDefault="00AB4983" w:rsidP="00AB4983">
            <w:pPr>
              <w:jc w:val="center"/>
              <w:rPr>
                <w:i/>
                <w:iCs/>
                <w:sz w:val="18"/>
                <w:lang w:val="en-GB"/>
              </w:rPr>
            </w:pPr>
            <w:r w:rsidRPr="00AB0C4E">
              <w:rPr>
                <w:sz w:val="18"/>
                <w:lang w:val="en-GB"/>
              </w:rPr>
              <w:lastRenderedPageBreak/>
              <w:t xml:space="preserve">IAS 12 </w:t>
            </w:r>
            <w:r w:rsidRPr="00AB0C4E">
              <w:rPr>
                <w:i/>
                <w:iCs/>
                <w:sz w:val="18"/>
                <w:lang w:val="en-GB"/>
              </w:rPr>
              <w:t>Income Taxes</w:t>
            </w:r>
          </w:p>
        </w:tc>
        <w:tc>
          <w:tcPr>
            <w:tcW w:w="3260" w:type="dxa"/>
          </w:tcPr>
          <w:p w14:paraId="0CC819A7" w14:textId="0263776A" w:rsidR="00AB4983" w:rsidRPr="00AB0C4E" w:rsidRDefault="00AB4983" w:rsidP="00AB4983">
            <w:pPr>
              <w:rPr>
                <w:sz w:val="18"/>
                <w:lang w:val="en-GB"/>
              </w:rPr>
            </w:pPr>
            <w:r w:rsidRPr="00AB0C4E">
              <w:rPr>
                <w:sz w:val="18"/>
                <w:lang w:val="en-GB"/>
              </w:rPr>
              <w:t xml:space="preserve">IAS 12.82: disclose information about the nature of the evidence supporting the recognition of a deferred tax asset when its utilisation is in doubt (see criteria in IAS 12.82(a)-(b)). </w:t>
            </w:r>
          </w:p>
        </w:tc>
        <w:tc>
          <w:tcPr>
            <w:tcW w:w="6946" w:type="dxa"/>
          </w:tcPr>
          <w:p w14:paraId="60952AF0" w14:textId="71A70015" w:rsidR="00AB4983" w:rsidRPr="00AB0C4E" w:rsidRDefault="00AB4983" w:rsidP="00AB4983">
            <w:pPr>
              <w:rPr>
                <w:sz w:val="18"/>
                <w:lang w:val="en-GB"/>
              </w:rPr>
            </w:pPr>
            <w:r w:rsidRPr="00AB0C4E">
              <w:rPr>
                <w:sz w:val="18"/>
                <w:lang w:val="en-GB"/>
              </w:rPr>
              <w:t xml:space="preserve">The financial effects of COVID-19 may cast doubt relating to the recoverability of deferred tax assets (e.g. </w:t>
            </w:r>
            <w:r>
              <w:rPr>
                <w:sz w:val="18"/>
                <w:lang w:val="en-GB"/>
              </w:rPr>
              <w:t xml:space="preserve">due to </w:t>
            </w:r>
            <w:r w:rsidRPr="00AB0C4E">
              <w:rPr>
                <w:sz w:val="18"/>
                <w:lang w:val="en-GB"/>
              </w:rPr>
              <w:t>reductions in estimates of future taxable income). These effects may trigger the disclosure requirements of IAS 12.82, which requires disclosure of the amount of a deferred tax asset and the evidence supporting its recognition when:</w:t>
            </w:r>
          </w:p>
          <w:p w14:paraId="4488F2D0" w14:textId="77777777" w:rsidR="00AB4983" w:rsidRPr="00AB0C4E" w:rsidRDefault="00AB4983" w:rsidP="00AB4983">
            <w:pPr>
              <w:ind w:left="466" w:hanging="425"/>
              <w:rPr>
                <w:sz w:val="18"/>
                <w:lang w:val="en-GB"/>
              </w:rPr>
            </w:pPr>
            <w:r w:rsidRPr="00AB0C4E">
              <w:rPr>
                <w:sz w:val="18"/>
                <w:lang w:val="en-GB"/>
              </w:rPr>
              <w:t>(a)</w:t>
            </w:r>
            <w:r w:rsidRPr="00AB0C4E">
              <w:rPr>
                <w:sz w:val="18"/>
                <w:lang w:val="en-GB"/>
              </w:rPr>
              <w:tab/>
              <w:t>the utilisation of the deferred tax asset is dependent on future taxable profits in excess of the profits arising from the reversal of existing taxable temporary differences; and</w:t>
            </w:r>
          </w:p>
          <w:p w14:paraId="4C9CBECE" w14:textId="77777777" w:rsidR="00AB4983" w:rsidRPr="00AB0C4E" w:rsidRDefault="00AB4983" w:rsidP="00AB4983">
            <w:pPr>
              <w:ind w:left="466" w:hanging="425"/>
              <w:rPr>
                <w:sz w:val="18"/>
                <w:lang w:val="en-GB"/>
              </w:rPr>
            </w:pPr>
            <w:r w:rsidRPr="00AB0C4E">
              <w:rPr>
                <w:sz w:val="18"/>
                <w:lang w:val="en-GB"/>
              </w:rPr>
              <w:t>(b)</w:t>
            </w:r>
            <w:r w:rsidRPr="00AB0C4E">
              <w:rPr>
                <w:sz w:val="18"/>
                <w:lang w:val="en-GB"/>
              </w:rPr>
              <w:tab/>
              <w:t>the entity has suffered a loss in either the current or preceding period in the tax jurisdiction to which the deferred tax asset relates.</w:t>
            </w:r>
          </w:p>
          <w:p w14:paraId="1856A888" w14:textId="77777777" w:rsidR="00AB4983" w:rsidRPr="00AB0C4E" w:rsidRDefault="00AB4983" w:rsidP="00AB4983">
            <w:pPr>
              <w:ind w:left="466" w:hanging="425"/>
              <w:rPr>
                <w:sz w:val="18"/>
                <w:lang w:val="en-GB"/>
              </w:rPr>
            </w:pPr>
          </w:p>
          <w:p w14:paraId="738CC2C7" w14:textId="77B74124" w:rsidR="00AB4983" w:rsidRPr="00AB0C4E" w:rsidRDefault="00AB4983" w:rsidP="00AB4983">
            <w:pPr>
              <w:rPr>
                <w:sz w:val="18"/>
                <w:lang w:val="en-GB"/>
              </w:rPr>
            </w:pPr>
            <w:r w:rsidRPr="00AB0C4E">
              <w:rPr>
                <w:sz w:val="18"/>
                <w:lang w:val="en-GB"/>
              </w:rPr>
              <w:t xml:space="preserve">See </w:t>
            </w:r>
            <w:proofErr w:type="spellStart"/>
            <w:r w:rsidRPr="00AB0C4E">
              <w:rPr>
                <w:sz w:val="18"/>
                <w:lang w:val="en-GB"/>
              </w:rPr>
              <w:t>BDO’s</w:t>
            </w:r>
            <w:proofErr w:type="spellEnd"/>
            <w:r w:rsidRPr="00AB0C4E">
              <w:rPr>
                <w:sz w:val="18"/>
                <w:lang w:val="en-GB"/>
              </w:rPr>
              <w:t xml:space="preserve"> </w:t>
            </w:r>
            <w:hyperlink r:id="rId28" w:history="1">
              <w:r w:rsidRPr="00AB0C4E">
                <w:rPr>
                  <w:rStyle w:val="Hyperlink"/>
                  <w:sz w:val="18"/>
                  <w:lang w:val="en-GB"/>
                </w:rPr>
                <w:t>IFR Bulletin 2019/03</w:t>
              </w:r>
            </w:hyperlink>
            <w:r w:rsidRPr="00AB0C4E">
              <w:rPr>
                <w:sz w:val="18"/>
                <w:lang w:val="en-GB"/>
              </w:rPr>
              <w:t xml:space="preserve"> – </w:t>
            </w:r>
            <w:proofErr w:type="spellStart"/>
            <w:r w:rsidRPr="00AB0C4E">
              <w:rPr>
                <w:sz w:val="18"/>
                <w:lang w:val="en-GB"/>
              </w:rPr>
              <w:t>ESMA</w:t>
            </w:r>
            <w:proofErr w:type="spellEnd"/>
            <w:r w:rsidRPr="00AB0C4E">
              <w:rPr>
                <w:sz w:val="18"/>
                <w:lang w:val="en-GB"/>
              </w:rPr>
              <w:t xml:space="preserve"> Issues Public Statement on the Recognition of Deferred Tax Assets Arising from the Carry-forward of Unused Tax Losses for commentary on these disclosure requirements made by </w:t>
            </w:r>
            <w:proofErr w:type="spellStart"/>
            <w:r w:rsidRPr="00AB0C4E">
              <w:rPr>
                <w:sz w:val="18"/>
                <w:lang w:val="en-GB"/>
              </w:rPr>
              <w:t>ESMA</w:t>
            </w:r>
            <w:proofErr w:type="spellEnd"/>
            <w:r w:rsidRPr="00AB0C4E">
              <w:rPr>
                <w:sz w:val="18"/>
                <w:lang w:val="en-GB"/>
              </w:rPr>
              <w:t xml:space="preserve"> prior to COVID-19.</w:t>
            </w:r>
          </w:p>
        </w:tc>
        <w:tc>
          <w:tcPr>
            <w:tcW w:w="1807" w:type="dxa"/>
          </w:tcPr>
          <w:p w14:paraId="7A194573" w14:textId="45D7268F" w:rsidR="00AB4983" w:rsidRPr="00AB0C4E" w:rsidRDefault="003F170A" w:rsidP="00AB4983">
            <w:pPr>
              <w:jc w:val="center"/>
              <w:rPr>
                <w:sz w:val="18"/>
                <w:lang w:val="en-GB"/>
              </w:rPr>
            </w:pPr>
            <w:hyperlink w:anchor="B6" w:history="1">
              <w:r w:rsidR="00AB4983" w:rsidRPr="003F170A">
                <w:rPr>
                  <w:rStyle w:val="Hyperlink"/>
                  <w:sz w:val="18"/>
                  <w:lang w:val="en-GB"/>
                </w:rPr>
                <w:t>B.6</w:t>
              </w:r>
            </w:hyperlink>
          </w:p>
        </w:tc>
      </w:tr>
      <w:tr w:rsidR="00AB4983" w:rsidRPr="00AB0C4E" w14:paraId="3D0D6D42" w14:textId="77777777" w:rsidTr="00B26184">
        <w:tc>
          <w:tcPr>
            <w:tcW w:w="1980" w:type="dxa"/>
          </w:tcPr>
          <w:p w14:paraId="5DAE1460" w14:textId="339B63AC" w:rsidR="00AB4983" w:rsidRPr="00AB0C4E" w:rsidRDefault="00AB4983" w:rsidP="00AB4983">
            <w:pPr>
              <w:jc w:val="center"/>
              <w:rPr>
                <w:i/>
                <w:iCs/>
                <w:sz w:val="18"/>
                <w:lang w:val="en-GB"/>
              </w:rPr>
            </w:pPr>
            <w:r w:rsidRPr="00AB0C4E">
              <w:rPr>
                <w:sz w:val="18"/>
                <w:lang w:val="en-GB"/>
              </w:rPr>
              <w:t xml:space="preserve">IAS 19 </w:t>
            </w:r>
            <w:r w:rsidRPr="00AB0C4E">
              <w:rPr>
                <w:i/>
                <w:iCs/>
                <w:sz w:val="18"/>
                <w:lang w:val="en-GB"/>
              </w:rPr>
              <w:t>Employee Benefits</w:t>
            </w:r>
          </w:p>
        </w:tc>
        <w:tc>
          <w:tcPr>
            <w:tcW w:w="3260" w:type="dxa"/>
          </w:tcPr>
          <w:p w14:paraId="7A5094CB" w14:textId="5CD5003A" w:rsidR="00AB4983" w:rsidRPr="00AB0C4E" w:rsidRDefault="00AB4983" w:rsidP="00AB4983">
            <w:pPr>
              <w:rPr>
                <w:sz w:val="18"/>
                <w:lang w:val="en-GB"/>
              </w:rPr>
            </w:pPr>
            <w:r w:rsidRPr="00AB0C4E">
              <w:rPr>
                <w:sz w:val="18"/>
                <w:lang w:val="en-GB"/>
              </w:rPr>
              <w:t>Extensive disclosure requirements, including assumptions used in measuring defined benefit plans. Changes in employee benefits (e.g. curtailments, severance, restructuring, etc.) may require disclosure.</w:t>
            </w:r>
          </w:p>
        </w:tc>
        <w:tc>
          <w:tcPr>
            <w:tcW w:w="6946" w:type="dxa"/>
          </w:tcPr>
          <w:p w14:paraId="5E4F9075" w14:textId="77777777" w:rsidR="00AB4983" w:rsidRDefault="00AB4983" w:rsidP="00AB4983">
            <w:pPr>
              <w:rPr>
                <w:sz w:val="18"/>
                <w:lang w:val="en-GB"/>
              </w:rPr>
            </w:pPr>
            <w:r w:rsidRPr="00AB0C4E">
              <w:rPr>
                <w:sz w:val="18"/>
                <w:lang w:val="en-GB"/>
              </w:rPr>
              <w:t xml:space="preserve">The effects of COVID-19 may result in restructurings of entities in order to remain solvent such as termination and severance packages, early retirement, etc., which require specific disclosures. Additionally, COVID-19 has increased market volatility, leading to changes in financial assumptions affecting defined benefit pension plans (e.g. discount rates), which require disclosure. </w:t>
            </w:r>
          </w:p>
          <w:p w14:paraId="0359D2FC" w14:textId="77777777" w:rsidR="00AB4983" w:rsidRDefault="00AB4983" w:rsidP="00AB4983">
            <w:pPr>
              <w:rPr>
                <w:sz w:val="18"/>
                <w:lang w:val="en-GB"/>
              </w:rPr>
            </w:pPr>
          </w:p>
          <w:p w14:paraId="7C39A748" w14:textId="77777777" w:rsidR="00AB4983" w:rsidRDefault="00AB4983" w:rsidP="00AB4983">
            <w:pPr>
              <w:rPr>
                <w:sz w:val="18"/>
                <w:lang w:val="en-GB"/>
              </w:rPr>
            </w:pPr>
          </w:p>
          <w:p w14:paraId="4FAF0F2B" w14:textId="77777777" w:rsidR="00AB4983" w:rsidRDefault="00AB4983" w:rsidP="00AB4983">
            <w:pPr>
              <w:rPr>
                <w:sz w:val="18"/>
                <w:lang w:val="en-GB"/>
              </w:rPr>
            </w:pPr>
          </w:p>
          <w:p w14:paraId="4595BD11" w14:textId="77777777" w:rsidR="00AB4983" w:rsidRDefault="00AB4983" w:rsidP="00AB4983">
            <w:pPr>
              <w:rPr>
                <w:sz w:val="18"/>
                <w:lang w:val="en-GB"/>
              </w:rPr>
            </w:pPr>
          </w:p>
          <w:p w14:paraId="7B9C5C42" w14:textId="77777777" w:rsidR="00AB4983" w:rsidRDefault="00AB4983" w:rsidP="00AB4983">
            <w:pPr>
              <w:rPr>
                <w:sz w:val="18"/>
                <w:lang w:val="en-GB"/>
              </w:rPr>
            </w:pPr>
          </w:p>
          <w:p w14:paraId="01E2C0A9" w14:textId="77777777" w:rsidR="00AB4983" w:rsidRDefault="00AB4983" w:rsidP="00AB4983">
            <w:pPr>
              <w:rPr>
                <w:sz w:val="18"/>
                <w:lang w:val="en-GB"/>
              </w:rPr>
            </w:pPr>
          </w:p>
          <w:p w14:paraId="50E69EF3" w14:textId="77777777" w:rsidR="00AB4983" w:rsidRDefault="00AB4983" w:rsidP="00AB4983">
            <w:pPr>
              <w:rPr>
                <w:sz w:val="18"/>
                <w:lang w:val="en-GB"/>
              </w:rPr>
            </w:pPr>
          </w:p>
          <w:p w14:paraId="00691B7F" w14:textId="4918A108" w:rsidR="00AB4983" w:rsidRPr="00AB0C4E" w:rsidRDefault="00AB4983" w:rsidP="00AB4983">
            <w:pPr>
              <w:rPr>
                <w:sz w:val="18"/>
                <w:lang w:val="en-GB"/>
              </w:rPr>
            </w:pPr>
          </w:p>
        </w:tc>
        <w:tc>
          <w:tcPr>
            <w:tcW w:w="1807" w:type="dxa"/>
          </w:tcPr>
          <w:p w14:paraId="5B509267" w14:textId="65E7A476" w:rsidR="00AB4983" w:rsidRPr="00AB0C4E" w:rsidRDefault="00AB4983" w:rsidP="00AB4983">
            <w:pPr>
              <w:jc w:val="center"/>
              <w:rPr>
                <w:sz w:val="18"/>
                <w:lang w:val="en-GB"/>
              </w:rPr>
            </w:pPr>
            <w:r>
              <w:rPr>
                <w:sz w:val="18"/>
                <w:lang w:val="en-GB"/>
              </w:rPr>
              <w:t>N/A</w:t>
            </w:r>
          </w:p>
        </w:tc>
      </w:tr>
      <w:tr w:rsidR="00AB4983" w:rsidRPr="00AB0C4E" w14:paraId="2F0E4F5E" w14:textId="77777777" w:rsidTr="00B26184">
        <w:tc>
          <w:tcPr>
            <w:tcW w:w="1980" w:type="dxa"/>
          </w:tcPr>
          <w:p w14:paraId="3CD54900" w14:textId="46AD7BBC" w:rsidR="00AB4983" w:rsidRPr="00AB0C4E" w:rsidRDefault="00AB4983" w:rsidP="00AB4983">
            <w:pPr>
              <w:jc w:val="center"/>
              <w:rPr>
                <w:i/>
                <w:iCs/>
                <w:sz w:val="18"/>
                <w:lang w:val="en-GB"/>
              </w:rPr>
            </w:pPr>
            <w:r w:rsidRPr="00AB0C4E">
              <w:rPr>
                <w:sz w:val="18"/>
                <w:lang w:val="en-GB"/>
              </w:rPr>
              <w:lastRenderedPageBreak/>
              <w:t xml:space="preserve">IAS 20 </w:t>
            </w:r>
            <w:r w:rsidRPr="00AB0C4E">
              <w:rPr>
                <w:i/>
                <w:iCs/>
                <w:sz w:val="18"/>
                <w:lang w:val="en-GB"/>
              </w:rPr>
              <w:t>Accounting for Government Grants and Disclosure of Government Assistance</w:t>
            </w:r>
          </w:p>
        </w:tc>
        <w:tc>
          <w:tcPr>
            <w:tcW w:w="3260" w:type="dxa"/>
          </w:tcPr>
          <w:p w14:paraId="5D5E4DAE" w14:textId="61460C47" w:rsidR="00AB4983" w:rsidRPr="00AB0C4E" w:rsidRDefault="00AB4983" w:rsidP="00AB4983">
            <w:pPr>
              <w:rPr>
                <w:sz w:val="18"/>
                <w:lang w:val="en-GB"/>
              </w:rPr>
            </w:pPr>
            <w:r w:rsidRPr="00AB0C4E">
              <w:rPr>
                <w:sz w:val="18"/>
                <w:lang w:val="en-GB"/>
              </w:rPr>
              <w:t xml:space="preserve">IAS 20.39: disclose accounting policies for government grants including presentation, the nature and extent of government grants recognised and unfulfilled conditions and other contingencies related to government assistance that has been recognised. </w:t>
            </w:r>
          </w:p>
        </w:tc>
        <w:tc>
          <w:tcPr>
            <w:tcW w:w="6946" w:type="dxa"/>
          </w:tcPr>
          <w:p w14:paraId="5E85D354" w14:textId="77777777" w:rsidR="00AB4983" w:rsidRPr="00AB0C4E" w:rsidRDefault="00AB4983" w:rsidP="00AB4983">
            <w:pPr>
              <w:rPr>
                <w:sz w:val="18"/>
                <w:lang w:val="en-GB"/>
              </w:rPr>
            </w:pPr>
            <w:r w:rsidRPr="00AB0C4E">
              <w:rPr>
                <w:sz w:val="18"/>
                <w:lang w:val="en-GB"/>
              </w:rPr>
              <w:t xml:space="preserve">In response to COVID-19, various levels of government have provided significant assistance in entities. The form of this assistance has varied significantly, but included grants with various conditions affecting repayment, forgivable and partially forgivable loans, loan guarantees, etc. </w:t>
            </w:r>
          </w:p>
          <w:p w14:paraId="2F3B7CE8" w14:textId="77777777" w:rsidR="00AB4983" w:rsidRPr="00AB0C4E" w:rsidRDefault="00AB4983" w:rsidP="00AB4983">
            <w:pPr>
              <w:rPr>
                <w:sz w:val="18"/>
                <w:lang w:val="en-GB"/>
              </w:rPr>
            </w:pPr>
          </w:p>
          <w:p w14:paraId="05D6ED66" w14:textId="6981013F" w:rsidR="00AB4983" w:rsidRPr="00AB0C4E" w:rsidRDefault="00AB4983" w:rsidP="00AB4983">
            <w:pPr>
              <w:rPr>
                <w:sz w:val="18"/>
                <w:lang w:val="en-GB"/>
              </w:rPr>
            </w:pPr>
            <w:r w:rsidRPr="00AB0C4E">
              <w:rPr>
                <w:sz w:val="18"/>
                <w:lang w:val="en-GB"/>
              </w:rPr>
              <w:t xml:space="preserve">IAS 20 contains disclosure requirements relating to the nature and extent of such relief and the conditions attached to such assistance. </w:t>
            </w:r>
          </w:p>
        </w:tc>
        <w:tc>
          <w:tcPr>
            <w:tcW w:w="1807" w:type="dxa"/>
          </w:tcPr>
          <w:p w14:paraId="215E05B9" w14:textId="21E34E40" w:rsidR="00AB4983" w:rsidRPr="00AB0C4E" w:rsidRDefault="003F170A" w:rsidP="00AB4983">
            <w:pPr>
              <w:jc w:val="center"/>
              <w:rPr>
                <w:sz w:val="18"/>
                <w:lang w:val="en-GB"/>
              </w:rPr>
            </w:pPr>
            <w:hyperlink w:anchor="B7" w:history="1">
              <w:r w:rsidR="00AB4983" w:rsidRPr="003F170A">
                <w:rPr>
                  <w:rStyle w:val="Hyperlink"/>
                  <w:sz w:val="18"/>
                  <w:lang w:val="en-GB"/>
                </w:rPr>
                <w:t>B.7</w:t>
              </w:r>
            </w:hyperlink>
          </w:p>
        </w:tc>
      </w:tr>
      <w:tr w:rsidR="00AB4983" w:rsidRPr="00AB0C4E" w14:paraId="661AC848" w14:textId="77777777" w:rsidTr="00B26184">
        <w:tc>
          <w:tcPr>
            <w:tcW w:w="1980" w:type="dxa"/>
          </w:tcPr>
          <w:p w14:paraId="3B642A0C" w14:textId="78D9AAA9" w:rsidR="00AB4983" w:rsidRPr="00AB0C4E" w:rsidRDefault="00AB4983" w:rsidP="00AB4983">
            <w:pPr>
              <w:jc w:val="center"/>
              <w:rPr>
                <w:sz w:val="18"/>
                <w:lang w:val="en-GB"/>
              </w:rPr>
            </w:pPr>
            <w:r w:rsidRPr="00AB0C4E">
              <w:rPr>
                <w:sz w:val="18"/>
                <w:lang w:val="en-GB"/>
              </w:rPr>
              <w:t>IAS 24</w:t>
            </w:r>
          </w:p>
        </w:tc>
        <w:tc>
          <w:tcPr>
            <w:tcW w:w="3260" w:type="dxa"/>
          </w:tcPr>
          <w:p w14:paraId="0CADD4DF" w14:textId="619F146B" w:rsidR="00AB4983" w:rsidRPr="00AB0C4E" w:rsidRDefault="00AB4983" w:rsidP="00AB4983">
            <w:pPr>
              <w:rPr>
                <w:sz w:val="18"/>
                <w:lang w:val="en-GB"/>
              </w:rPr>
            </w:pPr>
            <w:r w:rsidRPr="00AB0C4E">
              <w:rPr>
                <w:sz w:val="18"/>
                <w:lang w:val="en-GB"/>
              </w:rPr>
              <w:t xml:space="preserve">IAS 24.18: disclose the nature of related party transactions as well as information about those transactions and outstanding balances including commitments. </w:t>
            </w:r>
          </w:p>
        </w:tc>
        <w:tc>
          <w:tcPr>
            <w:tcW w:w="6946" w:type="dxa"/>
          </w:tcPr>
          <w:p w14:paraId="03CC1F92" w14:textId="0CE951B0" w:rsidR="00AB4983" w:rsidRPr="00AB0C4E" w:rsidRDefault="00AB4983" w:rsidP="00AB4983">
            <w:pPr>
              <w:rPr>
                <w:sz w:val="18"/>
                <w:lang w:val="en-GB"/>
              </w:rPr>
            </w:pPr>
            <w:r w:rsidRPr="00AB0C4E">
              <w:rPr>
                <w:sz w:val="18"/>
                <w:lang w:val="en-GB"/>
              </w:rPr>
              <w:t xml:space="preserve">The effects of COVID-19 may result in increased related party transactions, such as the granting or receipt of guarantees relating to borrowing facilities, related party loans, forgiveness or forbearance of related party loans, etc. </w:t>
            </w:r>
          </w:p>
        </w:tc>
        <w:tc>
          <w:tcPr>
            <w:tcW w:w="1807" w:type="dxa"/>
          </w:tcPr>
          <w:p w14:paraId="48E3CC20" w14:textId="74B13BA6" w:rsidR="00AB4983" w:rsidRPr="00AB0C4E" w:rsidRDefault="00AB4983" w:rsidP="00AB4983">
            <w:pPr>
              <w:jc w:val="center"/>
              <w:rPr>
                <w:sz w:val="18"/>
                <w:lang w:val="en-GB"/>
              </w:rPr>
            </w:pPr>
            <w:r>
              <w:rPr>
                <w:sz w:val="18"/>
                <w:lang w:val="en-GB"/>
              </w:rPr>
              <w:t>N/A</w:t>
            </w:r>
          </w:p>
        </w:tc>
      </w:tr>
      <w:tr w:rsidR="00AB4983" w:rsidRPr="00AB0C4E" w14:paraId="20FC2523" w14:textId="77777777" w:rsidTr="00437229">
        <w:tc>
          <w:tcPr>
            <w:tcW w:w="1980" w:type="dxa"/>
          </w:tcPr>
          <w:p w14:paraId="326DF2DB" w14:textId="20A3E33B" w:rsidR="00AB4983" w:rsidRPr="00AB0C4E" w:rsidRDefault="00AB4983" w:rsidP="00AB4983">
            <w:pPr>
              <w:jc w:val="center"/>
              <w:rPr>
                <w:sz w:val="18"/>
                <w:lang w:val="en-GB"/>
              </w:rPr>
            </w:pPr>
            <w:r w:rsidRPr="00AB0C4E">
              <w:rPr>
                <w:sz w:val="18"/>
                <w:lang w:val="en-GB"/>
              </w:rPr>
              <w:t xml:space="preserve">IAS 34 </w:t>
            </w:r>
            <w:r w:rsidRPr="00AB0C4E">
              <w:rPr>
                <w:i/>
                <w:iCs/>
                <w:sz w:val="18"/>
                <w:lang w:val="en-GB"/>
              </w:rPr>
              <w:t>Interim Financial Reporting</w:t>
            </w:r>
          </w:p>
        </w:tc>
        <w:tc>
          <w:tcPr>
            <w:tcW w:w="12013" w:type="dxa"/>
            <w:gridSpan w:val="3"/>
          </w:tcPr>
          <w:p w14:paraId="32F59713" w14:textId="77777777" w:rsidR="00AB4983" w:rsidRDefault="00AB4983" w:rsidP="00AB4983">
            <w:pPr>
              <w:jc w:val="center"/>
              <w:rPr>
                <w:rStyle w:val="Hyperlink"/>
                <w:sz w:val="18"/>
                <w:lang w:val="en-GB"/>
              </w:rPr>
            </w:pPr>
            <w:r w:rsidRPr="00AB0C4E">
              <w:rPr>
                <w:sz w:val="18"/>
                <w:lang w:val="en-GB"/>
              </w:rPr>
              <w:t xml:space="preserve">See </w:t>
            </w:r>
            <w:proofErr w:type="spellStart"/>
            <w:r w:rsidRPr="00AB0C4E">
              <w:rPr>
                <w:sz w:val="18"/>
                <w:lang w:val="en-GB"/>
              </w:rPr>
              <w:t>BDO’s</w:t>
            </w:r>
            <w:proofErr w:type="spellEnd"/>
            <w:r w:rsidRPr="00AB0C4E">
              <w:rPr>
                <w:sz w:val="18"/>
                <w:lang w:val="en-GB"/>
              </w:rPr>
              <w:t xml:space="preserve"> publication </w:t>
            </w:r>
            <w:hyperlink r:id="rId29" w:history="1">
              <w:r w:rsidRPr="00AB0C4E">
                <w:rPr>
                  <w:rStyle w:val="Hyperlink"/>
                  <w:sz w:val="18"/>
                  <w:lang w:val="en-GB"/>
                </w:rPr>
                <w:t>Interim Financial Statements, IAS 34 explained (30 June 2020)</w:t>
              </w:r>
            </w:hyperlink>
          </w:p>
          <w:p w14:paraId="36B8CA4F" w14:textId="77777777" w:rsidR="00AB4983" w:rsidRDefault="00AB4983" w:rsidP="00AB4983">
            <w:pPr>
              <w:jc w:val="center"/>
              <w:rPr>
                <w:rStyle w:val="Hyperlink"/>
              </w:rPr>
            </w:pPr>
          </w:p>
          <w:p w14:paraId="7F2322AE" w14:textId="77777777" w:rsidR="00AB4983" w:rsidRDefault="00AB4983" w:rsidP="00AB4983">
            <w:pPr>
              <w:jc w:val="center"/>
              <w:rPr>
                <w:rStyle w:val="Hyperlink"/>
              </w:rPr>
            </w:pPr>
          </w:p>
          <w:p w14:paraId="00C021F3" w14:textId="77777777" w:rsidR="00AB4983" w:rsidRDefault="00AB4983" w:rsidP="00AB4983">
            <w:pPr>
              <w:jc w:val="center"/>
              <w:rPr>
                <w:rStyle w:val="Hyperlink"/>
              </w:rPr>
            </w:pPr>
          </w:p>
          <w:p w14:paraId="774F393D" w14:textId="77777777" w:rsidR="00AB4983" w:rsidRDefault="00AB4983" w:rsidP="00AB4983">
            <w:pPr>
              <w:jc w:val="center"/>
              <w:rPr>
                <w:rStyle w:val="Hyperlink"/>
              </w:rPr>
            </w:pPr>
          </w:p>
          <w:p w14:paraId="72338C44" w14:textId="77777777" w:rsidR="00AB4983" w:rsidRDefault="00AB4983" w:rsidP="00AB4983">
            <w:pPr>
              <w:jc w:val="center"/>
              <w:rPr>
                <w:rStyle w:val="Hyperlink"/>
              </w:rPr>
            </w:pPr>
          </w:p>
          <w:p w14:paraId="5EC7F5CA" w14:textId="77777777" w:rsidR="00AB4983" w:rsidRDefault="00AB4983" w:rsidP="00AB4983">
            <w:pPr>
              <w:jc w:val="center"/>
              <w:rPr>
                <w:rStyle w:val="Hyperlink"/>
              </w:rPr>
            </w:pPr>
          </w:p>
          <w:p w14:paraId="1F953E20" w14:textId="77777777" w:rsidR="00AB4983" w:rsidRDefault="00AB4983" w:rsidP="00AB4983">
            <w:pPr>
              <w:jc w:val="center"/>
              <w:rPr>
                <w:rStyle w:val="Hyperlink"/>
              </w:rPr>
            </w:pPr>
          </w:p>
          <w:p w14:paraId="6150DE08" w14:textId="77777777" w:rsidR="00AB4983" w:rsidRDefault="00AB4983" w:rsidP="00AB4983">
            <w:pPr>
              <w:jc w:val="center"/>
              <w:rPr>
                <w:rStyle w:val="Hyperlink"/>
              </w:rPr>
            </w:pPr>
          </w:p>
          <w:p w14:paraId="2B240D0F" w14:textId="77777777" w:rsidR="00AB4983" w:rsidRDefault="00AB4983" w:rsidP="00AB4983">
            <w:pPr>
              <w:jc w:val="center"/>
              <w:rPr>
                <w:rStyle w:val="Hyperlink"/>
              </w:rPr>
            </w:pPr>
          </w:p>
          <w:p w14:paraId="59582F18" w14:textId="77777777" w:rsidR="00AB4983" w:rsidRDefault="00AB4983" w:rsidP="00AB4983">
            <w:pPr>
              <w:jc w:val="center"/>
              <w:rPr>
                <w:rStyle w:val="Hyperlink"/>
              </w:rPr>
            </w:pPr>
          </w:p>
          <w:p w14:paraId="5E686180" w14:textId="77777777" w:rsidR="00AB4983" w:rsidRDefault="00AB4983" w:rsidP="00AB4983">
            <w:pPr>
              <w:jc w:val="center"/>
              <w:rPr>
                <w:rStyle w:val="Hyperlink"/>
              </w:rPr>
            </w:pPr>
          </w:p>
          <w:p w14:paraId="0727E801" w14:textId="05385D85" w:rsidR="00AB4983" w:rsidRPr="00AB0C4E" w:rsidRDefault="00AB4983" w:rsidP="00AB4983">
            <w:pPr>
              <w:jc w:val="center"/>
              <w:rPr>
                <w:sz w:val="18"/>
                <w:lang w:val="en-GB"/>
              </w:rPr>
            </w:pPr>
          </w:p>
        </w:tc>
      </w:tr>
      <w:tr w:rsidR="00AB4983" w:rsidRPr="00AB0C4E" w14:paraId="43795BB6" w14:textId="77777777" w:rsidTr="00B26184">
        <w:tc>
          <w:tcPr>
            <w:tcW w:w="1980" w:type="dxa"/>
          </w:tcPr>
          <w:p w14:paraId="00B65E60" w14:textId="4B1B491B" w:rsidR="00AB4983" w:rsidRPr="00AB0C4E" w:rsidRDefault="00AB4983" w:rsidP="00AB4983">
            <w:pPr>
              <w:jc w:val="center"/>
              <w:rPr>
                <w:i/>
                <w:iCs/>
                <w:sz w:val="18"/>
                <w:lang w:val="en-GB"/>
              </w:rPr>
            </w:pPr>
            <w:r w:rsidRPr="00AB0C4E">
              <w:rPr>
                <w:sz w:val="18"/>
                <w:lang w:val="en-GB"/>
              </w:rPr>
              <w:lastRenderedPageBreak/>
              <w:t xml:space="preserve">IAS 36 </w:t>
            </w:r>
            <w:r w:rsidRPr="00AB0C4E">
              <w:rPr>
                <w:i/>
                <w:iCs/>
                <w:sz w:val="18"/>
                <w:lang w:val="en-GB"/>
              </w:rPr>
              <w:t>Impairment of Assets</w:t>
            </w:r>
          </w:p>
        </w:tc>
        <w:tc>
          <w:tcPr>
            <w:tcW w:w="3260" w:type="dxa"/>
          </w:tcPr>
          <w:p w14:paraId="6F4F38C0" w14:textId="5EA1B3A2" w:rsidR="00AB4983" w:rsidRPr="00AB0C4E" w:rsidRDefault="00AB4983" w:rsidP="00AB4983">
            <w:pPr>
              <w:rPr>
                <w:sz w:val="18"/>
                <w:lang w:val="en-GB"/>
              </w:rPr>
            </w:pPr>
            <w:r w:rsidRPr="00AB0C4E">
              <w:rPr>
                <w:sz w:val="18"/>
                <w:lang w:val="en-GB"/>
              </w:rPr>
              <w:t xml:space="preserve">Extensive disclosure requirements, including the events or circumstances that led to the recognition of the impairment loss, descriptions of impaired assets/cash-generating units, the recoverable amount calculated, and significant inputs included in the determination of recoverable amount. Additional disclosure requirements exist if an annual impairment test is required for cash-generating units containing goodwill or intangible assets with indefinite useful lives. </w:t>
            </w:r>
          </w:p>
        </w:tc>
        <w:tc>
          <w:tcPr>
            <w:tcW w:w="6946" w:type="dxa"/>
          </w:tcPr>
          <w:p w14:paraId="1813AE43" w14:textId="08FF7457" w:rsidR="00AB4983" w:rsidRPr="00AB0C4E" w:rsidRDefault="00AB4983" w:rsidP="00AB4983">
            <w:pPr>
              <w:rPr>
                <w:sz w:val="18"/>
                <w:lang w:val="en-GB"/>
              </w:rPr>
            </w:pPr>
            <w:r w:rsidRPr="00AB0C4E">
              <w:rPr>
                <w:sz w:val="18"/>
                <w:lang w:val="en-GB"/>
              </w:rPr>
              <w:t>The financial effects of COVID-19 may result in significant impairment expenses being recorded. IAS 36 requires the carrying value of assets (or cash-generating units/groups of cash-generating units) to be compared with their recoverable amount, which is the greater of value-in-use and fair value less costs of disposal. Both value-in-use and fair value less costs of disposal may have decreased substantially due to the effects of COVID-19. The uncertainty created by COVID-19 may also increase the discount rates used to estimate value-in-use and/or fair value, which also decreases their recoverable amounts.</w:t>
            </w:r>
          </w:p>
          <w:p w14:paraId="14ED5903" w14:textId="77777777" w:rsidR="00AB4983" w:rsidRPr="00AB0C4E" w:rsidRDefault="00AB4983" w:rsidP="00AB4983">
            <w:pPr>
              <w:rPr>
                <w:sz w:val="18"/>
                <w:lang w:val="en-GB"/>
              </w:rPr>
            </w:pPr>
          </w:p>
          <w:p w14:paraId="4B88E036" w14:textId="77777777" w:rsidR="00AB4983" w:rsidRPr="00AB0C4E" w:rsidRDefault="00AB4983" w:rsidP="00AB4983">
            <w:pPr>
              <w:rPr>
                <w:sz w:val="18"/>
                <w:lang w:val="en-GB"/>
              </w:rPr>
            </w:pPr>
            <w:r w:rsidRPr="00AB0C4E">
              <w:rPr>
                <w:sz w:val="18"/>
                <w:lang w:val="en-GB"/>
              </w:rPr>
              <w:t>When an impairment expense is recorded relating to assets in the scope of IAS 36 (e.g. property plant and equipment, right-of-use assets, goodwill, intangible assets, etc.), significant disclosure requirements exist. More significant disclosures are required when an impairment expense is recorded relating to cash-generating units containing goodwill or intangible assets with indefinite useful lives.</w:t>
            </w:r>
          </w:p>
          <w:p w14:paraId="0A5A7B8A" w14:textId="77777777" w:rsidR="00AB4983" w:rsidRPr="00AB0C4E" w:rsidRDefault="00AB4983" w:rsidP="00AB4983">
            <w:pPr>
              <w:rPr>
                <w:sz w:val="18"/>
                <w:lang w:val="en-GB"/>
              </w:rPr>
            </w:pPr>
          </w:p>
          <w:p w14:paraId="0829572F" w14:textId="62DB9B39" w:rsidR="00AB4983" w:rsidRDefault="00AB4983" w:rsidP="00AB4983">
            <w:pPr>
              <w:rPr>
                <w:sz w:val="18"/>
                <w:lang w:val="en-GB"/>
              </w:rPr>
            </w:pPr>
            <w:r w:rsidRPr="00AB0C4E">
              <w:rPr>
                <w:sz w:val="18"/>
                <w:lang w:val="en-GB"/>
              </w:rPr>
              <w:t xml:space="preserve">Despite IAS 36’s requirements only applying to instances in which impairment is recorded, disclosure of significant judgements and estimates (IAS 1.122 and 125) may be required where a reasonable change in assumptions would result in an impairment being recorded (i.e. a ‘close call’). </w:t>
            </w:r>
            <w:r>
              <w:rPr>
                <w:sz w:val="18"/>
                <w:lang w:val="en-GB"/>
              </w:rPr>
              <w:t>Additional d</w:t>
            </w:r>
            <w:r w:rsidRPr="00AB0C4E">
              <w:rPr>
                <w:sz w:val="18"/>
                <w:lang w:val="en-GB"/>
              </w:rPr>
              <w:t>isclosure</w:t>
            </w:r>
            <w:r>
              <w:rPr>
                <w:sz w:val="18"/>
                <w:lang w:val="en-GB"/>
              </w:rPr>
              <w:t>s</w:t>
            </w:r>
            <w:r w:rsidRPr="00AB0C4E">
              <w:rPr>
                <w:sz w:val="18"/>
                <w:lang w:val="en-GB"/>
              </w:rPr>
              <w:t xml:space="preserve"> may also be</w:t>
            </w:r>
            <w:r>
              <w:rPr>
                <w:sz w:val="18"/>
                <w:lang w:val="en-GB"/>
              </w:rPr>
              <w:t xml:space="preserve"> required</w:t>
            </w:r>
            <w:r w:rsidRPr="00AB0C4E">
              <w:rPr>
                <w:sz w:val="18"/>
                <w:lang w:val="en-GB"/>
              </w:rPr>
              <w:t xml:space="preserve"> due to IAS 1.17(c) and 31 requiring disclosure beyond what is required by specific IFRSs</w:t>
            </w:r>
            <w:r>
              <w:rPr>
                <w:sz w:val="18"/>
                <w:lang w:val="en-GB"/>
              </w:rPr>
              <w:t xml:space="preserve"> if compliance with the specific requirements in IFRSs is insufficient to enable users of financial statements to understand the impact of particular transactions, other events and conditions on an entity’s financial position and financial performance</w:t>
            </w:r>
            <w:r w:rsidRPr="00AB0C4E">
              <w:rPr>
                <w:sz w:val="18"/>
                <w:lang w:val="en-GB"/>
              </w:rPr>
              <w:t xml:space="preserve">. </w:t>
            </w:r>
          </w:p>
          <w:p w14:paraId="6EF320EA" w14:textId="77777777" w:rsidR="00AB4983" w:rsidRDefault="00AB4983" w:rsidP="00AB4983">
            <w:pPr>
              <w:rPr>
                <w:sz w:val="18"/>
                <w:lang w:val="en-GB"/>
              </w:rPr>
            </w:pPr>
          </w:p>
          <w:p w14:paraId="4D412093" w14:textId="5884851A" w:rsidR="00AB4983" w:rsidRPr="00AB0C4E" w:rsidRDefault="00AB4983" w:rsidP="00AB4983">
            <w:pPr>
              <w:rPr>
                <w:sz w:val="18"/>
                <w:lang w:val="en-GB"/>
              </w:rPr>
            </w:pPr>
          </w:p>
        </w:tc>
        <w:tc>
          <w:tcPr>
            <w:tcW w:w="1807" w:type="dxa"/>
          </w:tcPr>
          <w:p w14:paraId="568B9253" w14:textId="15593C5B" w:rsidR="00AB4983" w:rsidRPr="00AB0C4E" w:rsidRDefault="003F170A" w:rsidP="00AB4983">
            <w:pPr>
              <w:jc w:val="center"/>
              <w:rPr>
                <w:sz w:val="18"/>
                <w:lang w:val="en-GB"/>
              </w:rPr>
            </w:pPr>
            <w:hyperlink w:anchor="B8" w:history="1">
              <w:r w:rsidR="00AB4983" w:rsidRPr="003F170A">
                <w:rPr>
                  <w:rStyle w:val="Hyperlink"/>
                  <w:sz w:val="18"/>
                  <w:lang w:val="en-GB"/>
                </w:rPr>
                <w:t>B.8</w:t>
              </w:r>
            </w:hyperlink>
          </w:p>
        </w:tc>
      </w:tr>
      <w:tr w:rsidR="00AB4983" w:rsidRPr="00AB0C4E" w14:paraId="015D073E" w14:textId="77777777" w:rsidTr="00B26184">
        <w:tc>
          <w:tcPr>
            <w:tcW w:w="1980" w:type="dxa"/>
            <w:vMerge w:val="restart"/>
            <w:vAlign w:val="center"/>
          </w:tcPr>
          <w:p w14:paraId="05BF5BBF" w14:textId="38DA1ED3" w:rsidR="00AB4983" w:rsidRPr="00AB0C4E" w:rsidRDefault="00AB4983" w:rsidP="00AB4983">
            <w:pPr>
              <w:jc w:val="center"/>
              <w:rPr>
                <w:i/>
                <w:iCs/>
                <w:sz w:val="18"/>
                <w:lang w:val="en-GB"/>
              </w:rPr>
            </w:pPr>
            <w:r w:rsidRPr="00AB0C4E">
              <w:rPr>
                <w:sz w:val="18"/>
                <w:lang w:val="en-GB"/>
              </w:rPr>
              <w:lastRenderedPageBreak/>
              <w:t xml:space="preserve">IAS 37 </w:t>
            </w:r>
            <w:r w:rsidRPr="00AB0C4E">
              <w:rPr>
                <w:i/>
                <w:iCs/>
                <w:sz w:val="18"/>
                <w:lang w:val="en-GB"/>
              </w:rPr>
              <w:t>Provisions, Contingent Liabilities and Contingent Assets</w:t>
            </w:r>
          </w:p>
        </w:tc>
        <w:tc>
          <w:tcPr>
            <w:tcW w:w="3260" w:type="dxa"/>
          </w:tcPr>
          <w:p w14:paraId="192F5FC4" w14:textId="0268EA07" w:rsidR="00AB4983" w:rsidRPr="00AB0C4E" w:rsidRDefault="00AB4983" w:rsidP="00AB4983">
            <w:pPr>
              <w:rPr>
                <w:sz w:val="18"/>
                <w:lang w:val="en-GB"/>
              </w:rPr>
            </w:pPr>
            <w:r w:rsidRPr="00AB0C4E">
              <w:rPr>
                <w:sz w:val="18"/>
                <w:lang w:val="en-GB"/>
              </w:rPr>
              <w:t>IAS 37.85: disclose information about provisions, including a description, an indication of the uncertainties about the timing or amount</w:t>
            </w:r>
            <w:r>
              <w:rPr>
                <w:sz w:val="18"/>
                <w:lang w:val="en-GB"/>
              </w:rPr>
              <w:t xml:space="preserve"> of any resulting outflows</w:t>
            </w:r>
            <w:r w:rsidRPr="00AB0C4E">
              <w:rPr>
                <w:sz w:val="18"/>
                <w:lang w:val="en-GB"/>
              </w:rPr>
              <w:t xml:space="preserve"> and the amount of any</w:t>
            </w:r>
            <w:r>
              <w:rPr>
                <w:sz w:val="18"/>
                <w:lang w:val="en-GB"/>
              </w:rPr>
              <w:t xml:space="preserve"> expected</w:t>
            </w:r>
            <w:r w:rsidRPr="00AB0C4E">
              <w:rPr>
                <w:sz w:val="18"/>
                <w:lang w:val="en-GB"/>
              </w:rPr>
              <w:t xml:space="preserve"> reimbursement. </w:t>
            </w:r>
          </w:p>
        </w:tc>
        <w:tc>
          <w:tcPr>
            <w:tcW w:w="6946" w:type="dxa"/>
          </w:tcPr>
          <w:p w14:paraId="4979B094" w14:textId="3FD7A992" w:rsidR="00AB4983" w:rsidRPr="00AB0C4E" w:rsidRDefault="00AB4983" w:rsidP="00AB4983">
            <w:pPr>
              <w:rPr>
                <w:sz w:val="18"/>
                <w:lang w:val="en-GB"/>
              </w:rPr>
            </w:pPr>
            <w:r w:rsidRPr="00AB0C4E">
              <w:rPr>
                <w:sz w:val="18"/>
                <w:lang w:val="en-GB"/>
              </w:rPr>
              <w:t xml:space="preserve">The financial effects of COVID-19 may result in the recognition of various provisions, including onerous contracts (e.g. unprofitable sales contracts), restructuring liabilities (e.g. the sale or termination of a major line of business, closure of a facility, change in structure, etc.). </w:t>
            </w:r>
          </w:p>
        </w:tc>
        <w:tc>
          <w:tcPr>
            <w:tcW w:w="1807" w:type="dxa"/>
          </w:tcPr>
          <w:p w14:paraId="5C77F774" w14:textId="6E1A733A" w:rsidR="00AB4983" w:rsidRPr="00AB0C4E" w:rsidRDefault="003F170A" w:rsidP="00AB4983">
            <w:pPr>
              <w:jc w:val="center"/>
              <w:rPr>
                <w:sz w:val="18"/>
                <w:lang w:val="en-GB"/>
              </w:rPr>
            </w:pPr>
            <w:hyperlink w:anchor="B9" w:history="1">
              <w:r w:rsidR="00AB4983" w:rsidRPr="003F170A">
                <w:rPr>
                  <w:rStyle w:val="Hyperlink"/>
                  <w:sz w:val="18"/>
                  <w:lang w:val="en-GB"/>
                </w:rPr>
                <w:t>B.9</w:t>
              </w:r>
            </w:hyperlink>
          </w:p>
        </w:tc>
      </w:tr>
      <w:tr w:rsidR="00AB4983" w:rsidRPr="00AB0C4E" w14:paraId="0FBB2170" w14:textId="77777777" w:rsidTr="00B26184">
        <w:tc>
          <w:tcPr>
            <w:tcW w:w="1980" w:type="dxa"/>
            <w:vMerge/>
          </w:tcPr>
          <w:p w14:paraId="404219CE" w14:textId="77777777" w:rsidR="00AB4983" w:rsidRPr="00AB0C4E" w:rsidRDefault="00AB4983" w:rsidP="00AB4983">
            <w:pPr>
              <w:jc w:val="center"/>
              <w:rPr>
                <w:sz w:val="18"/>
                <w:lang w:val="en-GB"/>
              </w:rPr>
            </w:pPr>
          </w:p>
        </w:tc>
        <w:tc>
          <w:tcPr>
            <w:tcW w:w="3260" w:type="dxa"/>
          </w:tcPr>
          <w:p w14:paraId="42E4B985" w14:textId="4094A868" w:rsidR="00AB4983" w:rsidRPr="00AB0C4E" w:rsidRDefault="00AB4983" w:rsidP="00AB4983">
            <w:pPr>
              <w:rPr>
                <w:sz w:val="18"/>
                <w:lang w:val="en-GB"/>
              </w:rPr>
            </w:pPr>
            <w:r w:rsidRPr="00AB0C4E">
              <w:rPr>
                <w:sz w:val="18"/>
                <w:lang w:val="en-GB"/>
              </w:rPr>
              <w:t>IAS 37.86: disclose a description of the nature of a contingent liability including an estimate of its financial effect, the uncertainties relating to the amount or timing</w:t>
            </w:r>
            <w:r>
              <w:rPr>
                <w:sz w:val="18"/>
                <w:lang w:val="en-GB"/>
              </w:rPr>
              <w:t xml:space="preserve"> of any outflow</w:t>
            </w:r>
            <w:r w:rsidRPr="00AB0C4E">
              <w:rPr>
                <w:sz w:val="18"/>
                <w:lang w:val="en-GB"/>
              </w:rPr>
              <w:t xml:space="preserve"> and the possibility of any reimbursement. </w:t>
            </w:r>
          </w:p>
        </w:tc>
        <w:tc>
          <w:tcPr>
            <w:tcW w:w="6946" w:type="dxa"/>
          </w:tcPr>
          <w:p w14:paraId="5BADFA4F" w14:textId="1D65563F" w:rsidR="00AB4983" w:rsidRPr="00AB0C4E" w:rsidRDefault="00AB4983" w:rsidP="00AB4983">
            <w:pPr>
              <w:rPr>
                <w:sz w:val="18"/>
                <w:lang w:val="en-GB"/>
              </w:rPr>
            </w:pPr>
            <w:r w:rsidRPr="00AB0C4E">
              <w:rPr>
                <w:sz w:val="18"/>
                <w:lang w:val="en-GB"/>
              </w:rPr>
              <w:t xml:space="preserve">Contingent liabilities may arise due to the effects of COVID-19, including lawsuits relating to breaches of contract, failure to provide goods or services as required by agreement, etc. </w:t>
            </w:r>
          </w:p>
        </w:tc>
        <w:tc>
          <w:tcPr>
            <w:tcW w:w="1807" w:type="dxa"/>
          </w:tcPr>
          <w:p w14:paraId="3C687E1E" w14:textId="2741EEB8" w:rsidR="00AB4983" w:rsidRPr="00AB0C4E" w:rsidRDefault="00AB4983" w:rsidP="00AB4983">
            <w:pPr>
              <w:jc w:val="center"/>
              <w:rPr>
                <w:sz w:val="18"/>
                <w:lang w:val="en-GB"/>
              </w:rPr>
            </w:pPr>
            <w:r>
              <w:rPr>
                <w:sz w:val="18"/>
                <w:lang w:val="en-GB"/>
              </w:rPr>
              <w:t>N/A</w:t>
            </w:r>
          </w:p>
        </w:tc>
      </w:tr>
      <w:tr w:rsidR="00AB4983" w:rsidRPr="00AB0C4E" w14:paraId="32334ECA" w14:textId="77777777" w:rsidTr="00B26184">
        <w:tc>
          <w:tcPr>
            <w:tcW w:w="1980" w:type="dxa"/>
          </w:tcPr>
          <w:p w14:paraId="736E598E" w14:textId="04B69ADE" w:rsidR="00AB4983" w:rsidRPr="00AB0C4E" w:rsidRDefault="00AB4983" w:rsidP="00AB4983">
            <w:pPr>
              <w:jc w:val="center"/>
              <w:rPr>
                <w:i/>
                <w:iCs/>
                <w:sz w:val="18"/>
                <w:lang w:val="en-GB"/>
              </w:rPr>
            </w:pPr>
            <w:r w:rsidRPr="00AB0C4E">
              <w:rPr>
                <w:sz w:val="18"/>
                <w:lang w:val="en-GB"/>
              </w:rPr>
              <w:t xml:space="preserve">IAS 40 </w:t>
            </w:r>
            <w:r w:rsidRPr="00AB0C4E">
              <w:rPr>
                <w:i/>
                <w:iCs/>
                <w:sz w:val="18"/>
                <w:lang w:val="en-GB"/>
              </w:rPr>
              <w:t>Investment Property</w:t>
            </w:r>
          </w:p>
        </w:tc>
        <w:tc>
          <w:tcPr>
            <w:tcW w:w="3260" w:type="dxa"/>
          </w:tcPr>
          <w:p w14:paraId="6B6E8662" w14:textId="50EE2D5C" w:rsidR="00AB4983" w:rsidRPr="00AB0C4E" w:rsidRDefault="00AB4983" w:rsidP="00AB4983">
            <w:pPr>
              <w:rPr>
                <w:sz w:val="18"/>
                <w:lang w:val="en-GB"/>
              </w:rPr>
            </w:pPr>
            <w:r w:rsidRPr="00AB0C4E">
              <w:rPr>
                <w:sz w:val="18"/>
                <w:lang w:val="en-GB"/>
              </w:rPr>
              <w:t xml:space="preserve">For investment properties accounted for in accordance with the fair value model, see disclosure requirements for recurring fair value measurements (IFRS 13 below). </w:t>
            </w:r>
          </w:p>
        </w:tc>
        <w:tc>
          <w:tcPr>
            <w:tcW w:w="6946" w:type="dxa"/>
          </w:tcPr>
          <w:p w14:paraId="280163E8" w14:textId="77777777" w:rsidR="00AB4983" w:rsidRDefault="00AB4983" w:rsidP="00AB4983">
            <w:pPr>
              <w:rPr>
                <w:sz w:val="18"/>
                <w:lang w:val="en-GB"/>
              </w:rPr>
            </w:pPr>
            <w:r w:rsidRPr="00AB0C4E">
              <w:rPr>
                <w:sz w:val="18"/>
                <w:lang w:val="en-GB"/>
              </w:rPr>
              <w:t xml:space="preserve">COVID-19 has resulted in widespread changes to the real estate industry in many jurisdictions, including significant vacancies in commercial real estate, changes in demand for properties, the market prices of properties/rental rates, etc. These changes may significantly impact the measurement of investment property accounted for using the fair value model, which requires significant disclosures in IFRS 13 relating to the assumptions used in estimating fair value. The changes in assumption made </w:t>
            </w:r>
            <w:proofErr w:type="gramStart"/>
            <w:r w:rsidRPr="00AB0C4E">
              <w:rPr>
                <w:sz w:val="18"/>
                <w:lang w:val="en-GB"/>
              </w:rPr>
              <w:t>due to the effects</w:t>
            </w:r>
            <w:proofErr w:type="gramEnd"/>
            <w:r w:rsidRPr="00AB0C4E">
              <w:rPr>
                <w:sz w:val="18"/>
                <w:lang w:val="en-GB"/>
              </w:rPr>
              <w:t xml:space="preserve"> of COVID-19 may require disclosure.</w:t>
            </w:r>
          </w:p>
          <w:p w14:paraId="7371CB08" w14:textId="77777777" w:rsidR="00AB4983" w:rsidRDefault="00AB4983" w:rsidP="00AB4983">
            <w:pPr>
              <w:rPr>
                <w:sz w:val="18"/>
                <w:lang w:val="en-GB"/>
              </w:rPr>
            </w:pPr>
          </w:p>
          <w:p w14:paraId="5A0D5964" w14:textId="77777777" w:rsidR="00AB4983" w:rsidRDefault="00AB4983" w:rsidP="00AB4983">
            <w:pPr>
              <w:rPr>
                <w:sz w:val="18"/>
                <w:lang w:val="en-GB"/>
              </w:rPr>
            </w:pPr>
          </w:p>
          <w:p w14:paraId="3CCB0C19" w14:textId="77777777" w:rsidR="00AB4983" w:rsidRDefault="00AB4983" w:rsidP="00AB4983">
            <w:pPr>
              <w:rPr>
                <w:sz w:val="18"/>
                <w:lang w:val="en-GB"/>
              </w:rPr>
            </w:pPr>
          </w:p>
          <w:p w14:paraId="30E16B65" w14:textId="77777777" w:rsidR="00AB4983" w:rsidRDefault="00AB4983" w:rsidP="00AB4983">
            <w:pPr>
              <w:rPr>
                <w:sz w:val="18"/>
                <w:lang w:val="en-GB"/>
              </w:rPr>
            </w:pPr>
          </w:p>
          <w:p w14:paraId="0A2649BA" w14:textId="7FE28A52" w:rsidR="00AB4983" w:rsidRPr="00AB0C4E" w:rsidRDefault="00AB4983" w:rsidP="00AB4983">
            <w:pPr>
              <w:rPr>
                <w:sz w:val="18"/>
                <w:lang w:val="en-GB"/>
              </w:rPr>
            </w:pPr>
          </w:p>
        </w:tc>
        <w:tc>
          <w:tcPr>
            <w:tcW w:w="1807" w:type="dxa"/>
          </w:tcPr>
          <w:p w14:paraId="79E71C3D" w14:textId="1CDA4B11" w:rsidR="00AB4983" w:rsidRPr="00AB0C4E" w:rsidRDefault="00AB4983" w:rsidP="00AB4983">
            <w:pPr>
              <w:jc w:val="center"/>
              <w:rPr>
                <w:sz w:val="18"/>
                <w:lang w:val="en-GB"/>
              </w:rPr>
            </w:pPr>
            <w:r>
              <w:rPr>
                <w:sz w:val="18"/>
                <w:lang w:val="en-GB"/>
              </w:rPr>
              <w:t>N/A</w:t>
            </w:r>
          </w:p>
        </w:tc>
      </w:tr>
      <w:tr w:rsidR="00AB4983" w:rsidRPr="00AB0C4E" w14:paraId="0B378D0A" w14:textId="77777777" w:rsidTr="00B26184">
        <w:tc>
          <w:tcPr>
            <w:tcW w:w="1980" w:type="dxa"/>
            <w:vMerge w:val="restart"/>
            <w:vAlign w:val="center"/>
          </w:tcPr>
          <w:p w14:paraId="6C5170C1" w14:textId="02F741BF" w:rsidR="00AB4983" w:rsidRPr="00AB0C4E" w:rsidRDefault="00AB4983" w:rsidP="00AB4983">
            <w:pPr>
              <w:jc w:val="center"/>
              <w:rPr>
                <w:i/>
                <w:iCs/>
                <w:sz w:val="18"/>
                <w:lang w:val="en-GB"/>
              </w:rPr>
            </w:pPr>
            <w:r w:rsidRPr="00AB0C4E">
              <w:rPr>
                <w:sz w:val="18"/>
                <w:lang w:val="en-GB"/>
              </w:rPr>
              <w:lastRenderedPageBreak/>
              <w:t xml:space="preserve">IFRS 2 </w:t>
            </w:r>
            <w:r w:rsidRPr="00AB0C4E">
              <w:rPr>
                <w:i/>
                <w:iCs/>
                <w:sz w:val="18"/>
                <w:lang w:val="en-GB"/>
              </w:rPr>
              <w:t>Share-based Payment</w:t>
            </w:r>
          </w:p>
        </w:tc>
        <w:tc>
          <w:tcPr>
            <w:tcW w:w="3260" w:type="dxa"/>
          </w:tcPr>
          <w:p w14:paraId="0B5F7D39" w14:textId="220D772C" w:rsidR="00AB4983" w:rsidRPr="00AB0C4E" w:rsidRDefault="00AB4983" w:rsidP="00AB4983">
            <w:pPr>
              <w:rPr>
                <w:sz w:val="18"/>
                <w:lang w:val="en-GB"/>
              </w:rPr>
            </w:pPr>
            <w:r w:rsidRPr="00AB0C4E">
              <w:rPr>
                <w:sz w:val="18"/>
                <w:lang w:val="en-GB"/>
              </w:rPr>
              <w:t>IFRS 2.46 and 50: disclose information that enables users to understand how the value</w:t>
            </w:r>
            <w:r>
              <w:rPr>
                <w:sz w:val="18"/>
                <w:lang w:val="en-GB"/>
              </w:rPr>
              <w:t>s</w:t>
            </w:r>
            <w:r w:rsidRPr="00AB0C4E">
              <w:rPr>
                <w:sz w:val="18"/>
                <w:lang w:val="en-GB"/>
              </w:rPr>
              <w:t xml:space="preserve"> of share-based payments were determined and the effect of share-based payment transactions. </w:t>
            </w:r>
          </w:p>
        </w:tc>
        <w:tc>
          <w:tcPr>
            <w:tcW w:w="6946" w:type="dxa"/>
          </w:tcPr>
          <w:p w14:paraId="6953B6C4" w14:textId="5A03CC82" w:rsidR="00AB4983" w:rsidRPr="00AB0C4E" w:rsidRDefault="00AB4983" w:rsidP="00AB4983">
            <w:pPr>
              <w:rPr>
                <w:sz w:val="18"/>
                <w:lang w:val="en-GB"/>
              </w:rPr>
            </w:pPr>
            <w:r w:rsidRPr="00AB0C4E">
              <w:rPr>
                <w:sz w:val="18"/>
                <w:lang w:val="en-GB"/>
              </w:rPr>
              <w:t xml:space="preserve">The financial effects of COVID-19 may result in changes to how entities value share-based payments. For example, pricing models may need to be adjusted due to changes in the volatility of the underlying equity instruments. </w:t>
            </w:r>
          </w:p>
        </w:tc>
        <w:tc>
          <w:tcPr>
            <w:tcW w:w="1807" w:type="dxa"/>
          </w:tcPr>
          <w:p w14:paraId="4B976CD9" w14:textId="53749C3C" w:rsidR="00AB4983" w:rsidRPr="00AB0C4E" w:rsidRDefault="00AB4983" w:rsidP="00AB4983">
            <w:pPr>
              <w:jc w:val="center"/>
              <w:rPr>
                <w:sz w:val="18"/>
                <w:lang w:val="en-GB"/>
              </w:rPr>
            </w:pPr>
            <w:r>
              <w:rPr>
                <w:sz w:val="18"/>
                <w:lang w:val="en-GB"/>
              </w:rPr>
              <w:t>N/A</w:t>
            </w:r>
          </w:p>
        </w:tc>
      </w:tr>
      <w:tr w:rsidR="00AB4983" w:rsidRPr="00AB0C4E" w14:paraId="31431B47" w14:textId="77777777" w:rsidTr="00B26184">
        <w:tc>
          <w:tcPr>
            <w:tcW w:w="1980" w:type="dxa"/>
            <w:vMerge/>
          </w:tcPr>
          <w:p w14:paraId="3278F86F" w14:textId="77777777" w:rsidR="00AB4983" w:rsidRPr="00AB0C4E" w:rsidRDefault="00AB4983" w:rsidP="00AB4983">
            <w:pPr>
              <w:jc w:val="center"/>
              <w:rPr>
                <w:sz w:val="18"/>
                <w:lang w:val="en-GB"/>
              </w:rPr>
            </w:pPr>
          </w:p>
        </w:tc>
        <w:tc>
          <w:tcPr>
            <w:tcW w:w="3260" w:type="dxa"/>
          </w:tcPr>
          <w:p w14:paraId="65DF7A9C" w14:textId="4E77C179" w:rsidR="00AB4983" w:rsidRPr="00AB0C4E" w:rsidRDefault="00AB4983" w:rsidP="00AB4983">
            <w:pPr>
              <w:rPr>
                <w:sz w:val="18"/>
                <w:lang w:val="en-GB"/>
              </w:rPr>
            </w:pPr>
            <w:r w:rsidRPr="00AB0C4E">
              <w:rPr>
                <w:sz w:val="18"/>
                <w:lang w:val="en-GB"/>
              </w:rPr>
              <w:t xml:space="preserve">IFRS 2.47(c): disclose information about share-based payment arrangements that were modified during the period. </w:t>
            </w:r>
          </w:p>
        </w:tc>
        <w:tc>
          <w:tcPr>
            <w:tcW w:w="6946" w:type="dxa"/>
          </w:tcPr>
          <w:p w14:paraId="496FAD08" w14:textId="0E3635EE" w:rsidR="00AB4983" w:rsidRPr="00AB0C4E" w:rsidRDefault="00AB4983" w:rsidP="00AB4983">
            <w:pPr>
              <w:rPr>
                <w:sz w:val="18"/>
                <w:lang w:val="en-GB"/>
              </w:rPr>
            </w:pPr>
            <w:r w:rsidRPr="00AB0C4E">
              <w:rPr>
                <w:sz w:val="18"/>
                <w:lang w:val="en-GB"/>
              </w:rPr>
              <w:t xml:space="preserve">The financial effects of COVID-19 may result in entities making modifications to existing share-based payment schemes, or the introduction of new ones. This may be to </w:t>
            </w:r>
            <w:r>
              <w:rPr>
                <w:sz w:val="18"/>
                <w:lang w:val="en-GB"/>
              </w:rPr>
              <w:t xml:space="preserve">make </w:t>
            </w:r>
            <w:r w:rsidRPr="00AB0C4E">
              <w:rPr>
                <w:sz w:val="18"/>
                <w:lang w:val="en-GB"/>
              </w:rPr>
              <w:t>change</w:t>
            </w:r>
            <w:r>
              <w:rPr>
                <w:sz w:val="18"/>
                <w:lang w:val="en-GB"/>
              </w:rPr>
              <w:t>s to</w:t>
            </w:r>
            <w:r w:rsidRPr="00AB0C4E">
              <w:rPr>
                <w:sz w:val="18"/>
                <w:lang w:val="en-GB"/>
              </w:rPr>
              <w:t xml:space="preserve"> market and non-market vesting conditions that may </w:t>
            </w:r>
            <w:r>
              <w:rPr>
                <w:sz w:val="18"/>
                <w:lang w:val="en-GB"/>
              </w:rPr>
              <w:t>no longer</w:t>
            </w:r>
            <w:r w:rsidRPr="00AB0C4E">
              <w:rPr>
                <w:sz w:val="18"/>
                <w:lang w:val="en-GB"/>
              </w:rPr>
              <w:t xml:space="preserve"> be achievable as a result of COVID-19, and/or to reduce cash outflows.</w:t>
            </w:r>
          </w:p>
        </w:tc>
        <w:tc>
          <w:tcPr>
            <w:tcW w:w="1807" w:type="dxa"/>
          </w:tcPr>
          <w:p w14:paraId="5C4DD722" w14:textId="03CFD598" w:rsidR="00AB4983" w:rsidRPr="00AB0C4E" w:rsidRDefault="00AD245C" w:rsidP="00AB4983">
            <w:pPr>
              <w:jc w:val="center"/>
              <w:rPr>
                <w:sz w:val="18"/>
                <w:lang w:val="en-GB"/>
              </w:rPr>
            </w:pPr>
            <w:r>
              <w:rPr>
                <w:sz w:val="18"/>
                <w:lang w:val="en-GB"/>
              </w:rPr>
              <w:t>N/A</w:t>
            </w:r>
          </w:p>
        </w:tc>
      </w:tr>
      <w:tr w:rsidR="00AB4983" w:rsidRPr="00AB0C4E" w14:paraId="3B0AC722" w14:textId="77777777" w:rsidTr="00B26184">
        <w:tc>
          <w:tcPr>
            <w:tcW w:w="1980" w:type="dxa"/>
          </w:tcPr>
          <w:p w14:paraId="37CCB3AC" w14:textId="6A9CF1F8" w:rsidR="00AB4983" w:rsidRPr="00AB0C4E" w:rsidRDefault="00AB4983" w:rsidP="00AB4983">
            <w:pPr>
              <w:jc w:val="center"/>
              <w:rPr>
                <w:i/>
                <w:iCs/>
                <w:sz w:val="18"/>
                <w:lang w:val="en-GB"/>
              </w:rPr>
            </w:pPr>
            <w:r w:rsidRPr="00AB0C4E">
              <w:rPr>
                <w:sz w:val="18"/>
                <w:lang w:val="en-GB"/>
              </w:rPr>
              <w:t xml:space="preserve">IFRS 3 </w:t>
            </w:r>
            <w:r w:rsidRPr="00AB0C4E">
              <w:rPr>
                <w:i/>
                <w:iCs/>
                <w:sz w:val="18"/>
                <w:lang w:val="en-GB"/>
              </w:rPr>
              <w:t>Business Combinations</w:t>
            </w:r>
          </w:p>
        </w:tc>
        <w:tc>
          <w:tcPr>
            <w:tcW w:w="3260" w:type="dxa"/>
          </w:tcPr>
          <w:p w14:paraId="43158F46" w14:textId="3F58EF25" w:rsidR="00AB4983" w:rsidRPr="00AB0C4E" w:rsidRDefault="00AB4983" w:rsidP="00AB4983">
            <w:pPr>
              <w:rPr>
                <w:sz w:val="18"/>
                <w:lang w:val="en-GB"/>
              </w:rPr>
            </w:pPr>
            <w:r w:rsidRPr="00AB0C4E">
              <w:rPr>
                <w:sz w:val="18"/>
                <w:lang w:val="en-GB"/>
              </w:rPr>
              <w:t>IFRS 3.B67(e): disclose an explanation of any gain or loss recognised that relates to the identifiable assets acquired or liabilities assumed in a business combination that was effected in the current or previous reporting period and is of such a size, nature or incidence that disclosure is relevant to understanding the combined entity’s financial statements.</w:t>
            </w:r>
          </w:p>
        </w:tc>
        <w:tc>
          <w:tcPr>
            <w:tcW w:w="6946" w:type="dxa"/>
          </w:tcPr>
          <w:p w14:paraId="5DED2279" w14:textId="77777777" w:rsidR="00AB4983" w:rsidRPr="00AB0C4E" w:rsidRDefault="00AB4983" w:rsidP="00AB4983">
            <w:pPr>
              <w:rPr>
                <w:sz w:val="18"/>
                <w:lang w:val="en-GB"/>
              </w:rPr>
            </w:pPr>
            <w:r w:rsidRPr="00AB0C4E">
              <w:rPr>
                <w:sz w:val="18"/>
                <w:lang w:val="en-GB"/>
              </w:rPr>
              <w:t xml:space="preserve">As at the end of the reporting period, assets acquired in a business combination occurring in the current or previous reporting period would have a value close to their fair values as at the acquisition date. This is because very little time will have elapsed between the acquisition date and period end, therefore, the likelihood that the carrying value of assets recently acquired will not be recoverable is higher, especially due to the dramatic changes in asset values as a result of COVID-19. Such impairments and/or </w:t>
            </w:r>
            <w:proofErr w:type="spellStart"/>
            <w:r w:rsidRPr="00AB0C4E">
              <w:rPr>
                <w:sz w:val="18"/>
                <w:lang w:val="en-GB"/>
              </w:rPr>
              <w:t>writedowns</w:t>
            </w:r>
            <w:proofErr w:type="spellEnd"/>
            <w:r w:rsidRPr="00AB0C4E">
              <w:rPr>
                <w:sz w:val="18"/>
                <w:lang w:val="en-GB"/>
              </w:rPr>
              <w:t xml:space="preserve"> to recently acquired assets require disclosure.</w:t>
            </w:r>
          </w:p>
          <w:p w14:paraId="3E12239E" w14:textId="77777777" w:rsidR="00AB4983" w:rsidRPr="00AB0C4E" w:rsidRDefault="00AB4983" w:rsidP="00AB4983">
            <w:pPr>
              <w:rPr>
                <w:sz w:val="18"/>
                <w:lang w:val="en-GB"/>
              </w:rPr>
            </w:pPr>
          </w:p>
          <w:p w14:paraId="6AD8841A" w14:textId="77777777" w:rsidR="00AB4983" w:rsidRDefault="00AB4983" w:rsidP="00AB4983">
            <w:pPr>
              <w:rPr>
                <w:sz w:val="18"/>
                <w:lang w:val="en-GB"/>
              </w:rPr>
            </w:pPr>
            <w:r w:rsidRPr="00AB0C4E">
              <w:rPr>
                <w:sz w:val="18"/>
                <w:lang w:val="en-GB"/>
              </w:rPr>
              <w:t>Additionally, acquirers may have recognised liabilities in a business combination with ‘earnout’ clauses based on the future performance of the entity acquired. The effects of COVID-19 may result in significant adjustments to these liabilities due to worse than expected results.</w:t>
            </w:r>
          </w:p>
          <w:p w14:paraId="26882774" w14:textId="77777777" w:rsidR="00AB4983" w:rsidRDefault="00AB4983" w:rsidP="00AB4983">
            <w:pPr>
              <w:rPr>
                <w:sz w:val="18"/>
                <w:lang w:val="en-GB"/>
              </w:rPr>
            </w:pPr>
          </w:p>
          <w:p w14:paraId="692D68B9" w14:textId="77777777" w:rsidR="00AB4983" w:rsidRDefault="00AB4983" w:rsidP="00AB4983">
            <w:pPr>
              <w:rPr>
                <w:sz w:val="18"/>
                <w:lang w:val="en-GB"/>
              </w:rPr>
            </w:pPr>
          </w:p>
          <w:p w14:paraId="2D263657" w14:textId="0C2100EE" w:rsidR="00AB4983" w:rsidRPr="00AB0C4E" w:rsidRDefault="00AB4983" w:rsidP="00AB4983">
            <w:pPr>
              <w:rPr>
                <w:sz w:val="18"/>
                <w:lang w:val="en-GB"/>
              </w:rPr>
            </w:pPr>
          </w:p>
        </w:tc>
        <w:tc>
          <w:tcPr>
            <w:tcW w:w="1807" w:type="dxa"/>
          </w:tcPr>
          <w:p w14:paraId="2DFF6D24" w14:textId="1A46665C" w:rsidR="00AB4983" w:rsidRPr="00AB0C4E" w:rsidRDefault="00AB4983" w:rsidP="00AB4983">
            <w:pPr>
              <w:jc w:val="center"/>
              <w:rPr>
                <w:sz w:val="18"/>
                <w:lang w:val="en-GB"/>
              </w:rPr>
            </w:pPr>
            <w:r>
              <w:rPr>
                <w:sz w:val="18"/>
                <w:lang w:val="en-GB"/>
              </w:rPr>
              <w:t>N/A</w:t>
            </w:r>
          </w:p>
        </w:tc>
      </w:tr>
      <w:tr w:rsidR="00AB4983" w:rsidRPr="00AB0C4E" w14:paraId="1CA36002" w14:textId="77777777" w:rsidTr="00B26184">
        <w:tc>
          <w:tcPr>
            <w:tcW w:w="1980" w:type="dxa"/>
            <w:vMerge w:val="restart"/>
            <w:vAlign w:val="center"/>
          </w:tcPr>
          <w:p w14:paraId="1035E286" w14:textId="4E7FC97F" w:rsidR="00AB4983" w:rsidRPr="00AB0C4E" w:rsidRDefault="00AB4983" w:rsidP="00AB4983">
            <w:pPr>
              <w:jc w:val="center"/>
              <w:rPr>
                <w:i/>
                <w:iCs/>
                <w:sz w:val="18"/>
                <w:lang w:val="en-GB"/>
              </w:rPr>
            </w:pPr>
            <w:r w:rsidRPr="00AB0C4E">
              <w:rPr>
                <w:sz w:val="18"/>
                <w:lang w:val="en-GB"/>
              </w:rPr>
              <w:lastRenderedPageBreak/>
              <w:t xml:space="preserve">IFRS 5 </w:t>
            </w:r>
            <w:r w:rsidRPr="00AB0C4E">
              <w:rPr>
                <w:i/>
                <w:iCs/>
                <w:sz w:val="18"/>
                <w:lang w:val="en-GB"/>
              </w:rPr>
              <w:t>Non-current Assets Held for Sale and Discontinued Operations</w:t>
            </w:r>
          </w:p>
        </w:tc>
        <w:tc>
          <w:tcPr>
            <w:tcW w:w="3260" w:type="dxa"/>
          </w:tcPr>
          <w:p w14:paraId="7E3FEB98" w14:textId="0624BBF0" w:rsidR="00AB4983" w:rsidRPr="00AB0C4E" w:rsidRDefault="00AB4983" w:rsidP="00AB4983">
            <w:pPr>
              <w:rPr>
                <w:sz w:val="18"/>
                <w:lang w:val="en-GB"/>
              </w:rPr>
            </w:pPr>
            <w:r w:rsidRPr="00AB0C4E">
              <w:rPr>
                <w:sz w:val="18"/>
                <w:lang w:val="en-GB"/>
              </w:rPr>
              <w:t>IFRS 5.33: present a single amount in the statement of comprehensive income for a discontinued operation and disclose an analysis of the single amount in the notes (e.g. revenue, expenses, etc. comprising the single amount).</w:t>
            </w:r>
          </w:p>
        </w:tc>
        <w:tc>
          <w:tcPr>
            <w:tcW w:w="6946" w:type="dxa"/>
          </w:tcPr>
          <w:p w14:paraId="753E19E8" w14:textId="516E702C" w:rsidR="00AB4983" w:rsidRPr="00AB0C4E" w:rsidRDefault="00AB4983" w:rsidP="00AB4983">
            <w:pPr>
              <w:rPr>
                <w:sz w:val="18"/>
                <w:lang w:val="en-GB"/>
              </w:rPr>
            </w:pPr>
            <w:r w:rsidRPr="00AB0C4E">
              <w:rPr>
                <w:sz w:val="18"/>
                <w:lang w:val="en-GB"/>
              </w:rPr>
              <w:t>The financial effects of COVID-19 may result in entities adjusting their operations, such that components of the entity must be accounted for and presented as discontinued operations. This may be because entities are required to eliminate unprofitable or underperforming components of their operations in order to remain economically viable.</w:t>
            </w:r>
          </w:p>
        </w:tc>
        <w:tc>
          <w:tcPr>
            <w:tcW w:w="1807" w:type="dxa"/>
          </w:tcPr>
          <w:p w14:paraId="6A74C480" w14:textId="68C67A7A" w:rsidR="00AB4983" w:rsidRPr="00AB0C4E" w:rsidRDefault="00AB4983" w:rsidP="00AB4983">
            <w:pPr>
              <w:jc w:val="center"/>
              <w:rPr>
                <w:sz w:val="18"/>
                <w:lang w:val="en-GB"/>
              </w:rPr>
            </w:pPr>
            <w:r>
              <w:rPr>
                <w:sz w:val="18"/>
                <w:lang w:val="en-GB"/>
              </w:rPr>
              <w:t>N/A</w:t>
            </w:r>
          </w:p>
        </w:tc>
      </w:tr>
      <w:tr w:rsidR="00AB4983" w:rsidRPr="00AB0C4E" w14:paraId="2389C36A" w14:textId="77777777" w:rsidTr="00B26184">
        <w:tc>
          <w:tcPr>
            <w:tcW w:w="1980" w:type="dxa"/>
            <w:vMerge/>
          </w:tcPr>
          <w:p w14:paraId="3F5C48D9" w14:textId="77777777" w:rsidR="00AB4983" w:rsidRPr="00AB0C4E" w:rsidRDefault="00AB4983" w:rsidP="00AB4983">
            <w:pPr>
              <w:jc w:val="center"/>
              <w:rPr>
                <w:sz w:val="18"/>
                <w:lang w:val="en-GB"/>
              </w:rPr>
            </w:pPr>
          </w:p>
        </w:tc>
        <w:tc>
          <w:tcPr>
            <w:tcW w:w="3260" w:type="dxa"/>
          </w:tcPr>
          <w:p w14:paraId="52637D3B" w14:textId="2B4F98FF" w:rsidR="00AB4983" w:rsidRPr="00AB0C4E" w:rsidRDefault="00AB4983" w:rsidP="00AB4983">
            <w:pPr>
              <w:rPr>
                <w:sz w:val="18"/>
                <w:lang w:val="en-GB"/>
              </w:rPr>
            </w:pPr>
            <w:r w:rsidRPr="00AB0C4E">
              <w:rPr>
                <w:sz w:val="18"/>
                <w:lang w:val="en-GB"/>
              </w:rPr>
              <w:t xml:space="preserve">IFRS 5.41: for a non-current asset (or disposal group) that has been classified as held for sale or sold in a period, disclose a description, including the facts and circumstances of the sale and the gain or loss recognised if not separately presented in the statement of comprehensive income. </w:t>
            </w:r>
          </w:p>
        </w:tc>
        <w:tc>
          <w:tcPr>
            <w:tcW w:w="6946" w:type="dxa"/>
          </w:tcPr>
          <w:p w14:paraId="4DC81673" w14:textId="441B07D4" w:rsidR="00AB4983" w:rsidRPr="00AB0C4E" w:rsidRDefault="00AB4983" w:rsidP="00AB4983">
            <w:pPr>
              <w:rPr>
                <w:sz w:val="18"/>
                <w:lang w:val="en-GB"/>
              </w:rPr>
            </w:pPr>
            <w:r w:rsidRPr="00AB0C4E">
              <w:rPr>
                <w:sz w:val="18"/>
                <w:lang w:val="en-GB"/>
              </w:rPr>
              <w:t xml:space="preserve">The financial effects of COVID-19 may require entities to dispose of assets and/or groups of assets in order to increase liquidity. For example, an entity may decide to sell real estate or other assets in order to access additional cash to finance its operations. </w:t>
            </w:r>
          </w:p>
        </w:tc>
        <w:tc>
          <w:tcPr>
            <w:tcW w:w="1807" w:type="dxa"/>
          </w:tcPr>
          <w:p w14:paraId="101227B3" w14:textId="17D9B1F9" w:rsidR="00AB4983" w:rsidRPr="00AB0C4E" w:rsidRDefault="00AB4983" w:rsidP="00AB4983">
            <w:pPr>
              <w:jc w:val="center"/>
              <w:rPr>
                <w:sz w:val="18"/>
                <w:lang w:val="en-GB"/>
              </w:rPr>
            </w:pPr>
            <w:r>
              <w:rPr>
                <w:sz w:val="18"/>
                <w:lang w:val="en-GB"/>
              </w:rPr>
              <w:t>N/A</w:t>
            </w:r>
          </w:p>
        </w:tc>
      </w:tr>
      <w:tr w:rsidR="00AB4983" w:rsidRPr="00AB0C4E" w14:paraId="689A0F57" w14:textId="77777777" w:rsidTr="00B26184">
        <w:tc>
          <w:tcPr>
            <w:tcW w:w="1980" w:type="dxa"/>
            <w:vAlign w:val="center"/>
          </w:tcPr>
          <w:p w14:paraId="79111D03" w14:textId="40975224" w:rsidR="00AB4983" w:rsidRPr="00AB0C4E" w:rsidRDefault="00AB4983" w:rsidP="00AB4983">
            <w:pPr>
              <w:jc w:val="center"/>
              <w:rPr>
                <w:i/>
                <w:iCs/>
                <w:sz w:val="18"/>
                <w:lang w:val="en-GB"/>
              </w:rPr>
            </w:pPr>
            <w:r w:rsidRPr="00AB0C4E">
              <w:rPr>
                <w:sz w:val="18"/>
                <w:lang w:val="en-GB"/>
              </w:rPr>
              <w:t xml:space="preserve">IFRS 7 </w:t>
            </w:r>
            <w:r w:rsidRPr="00AB0C4E">
              <w:rPr>
                <w:i/>
                <w:iCs/>
                <w:sz w:val="18"/>
                <w:lang w:val="en-GB"/>
              </w:rPr>
              <w:t>Financial Instruments: Disclosures</w:t>
            </w:r>
          </w:p>
        </w:tc>
        <w:tc>
          <w:tcPr>
            <w:tcW w:w="3260" w:type="dxa"/>
          </w:tcPr>
          <w:p w14:paraId="2092E644" w14:textId="0C048DF5" w:rsidR="00AB4983" w:rsidRPr="00AB0C4E" w:rsidRDefault="00AB4983" w:rsidP="00AB4983">
            <w:pPr>
              <w:rPr>
                <w:sz w:val="18"/>
                <w:lang w:val="en-GB"/>
              </w:rPr>
            </w:pPr>
            <w:r w:rsidRPr="00AB0C4E">
              <w:rPr>
                <w:sz w:val="18"/>
                <w:lang w:val="en-GB"/>
              </w:rPr>
              <w:t>IFRS 7.7: disclose information that enables users to evaluate the significance of financial instruments</w:t>
            </w:r>
            <w:r>
              <w:rPr>
                <w:sz w:val="18"/>
                <w:lang w:val="en-GB"/>
              </w:rPr>
              <w:t xml:space="preserve"> for an entity’s financial position and performance</w:t>
            </w:r>
            <w:r w:rsidRPr="00AB0C4E">
              <w:rPr>
                <w:sz w:val="18"/>
                <w:lang w:val="en-GB"/>
              </w:rPr>
              <w:t>. IFRS 7 contains extensive and complex disclosure requirements, therefore, only certain disclosure requirements have been highlighted below.</w:t>
            </w:r>
          </w:p>
        </w:tc>
        <w:tc>
          <w:tcPr>
            <w:tcW w:w="6946" w:type="dxa"/>
          </w:tcPr>
          <w:p w14:paraId="48249736" w14:textId="09045533" w:rsidR="00AB4983" w:rsidRDefault="00AB4983" w:rsidP="00AB4983">
            <w:pPr>
              <w:rPr>
                <w:sz w:val="18"/>
                <w:lang w:val="en-GB"/>
              </w:rPr>
            </w:pPr>
            <w:r w:rsidRPr="00AB0C4E">
              <w:rPr>
                <w:sz w:val="18"/>
                <w:lang w:val="en-GB"/>
              </w:rPr>
              <w:t xml:space="preserve">The financial effects of COVID-19 have been broad and entities have been affected differently. Actions taken (or imposed on) entities may </w:t>
            </w:r>
            <w:r>
              <w:rPr>
                <w:sz w:val="18"/>
                <w:lang w:val="en-GB"/>
              </w:rPr>
              <w:t>a</w:t>
            </w:r>
            <w:r w:rsidRPr="00AB0C4E">
              <w:rPr>
                <w:sz w:val="18"/>
                <w:lang w:val="en-GB"/>
              </w:rPr>
              <w:t>ffect the significance of financial instruments held and the exposure to risks arising from those financial instruments. Risks that may have been insignificant in previous reporting periods (e.g. credit risk on trade receivables when strong history of collections exists) may now be significant, resulting in significantly expanded disclosures.</w:t>
            </w:r>
          </w:p>
          <w:p w14:paraId="0660B0C3" w14:textId="77777777" w:rsidR="00AB4983" w:rsidRDefault="00AB4983" w:rsidP="00AB4983">
            <w:pPr>
              <w:rPr>
                <w:sz w:val="18"/>
                <w:lang w:val="en-GB"/>
              </w:rPr>
            </w:pPr>
          </w:p>
          <w:p w14:paraId="0B675BE9" w14:textId="77777777" w:rsidR="00AB4983" w:rsidRDefault="00AB4983" w:rsidP="00AB4983">
            <w:pPr>
              <w:rPr>
                <w:sz w:val="18"/>
                <w:lang w:val="en-GB"/>
              </w:rPr>
            </w:pPr>
          </w:p>
          <w:p w14:paraId="77AC8902" w14:textId="77777777" w:rsidR="00AB4983" w:rsidRDefault="00AB4983" w:rsidP="00AB4983">
            <w:pPr>
              <w:rPr>
                <w:sz w:val="18"/>
                <w:lang w:val="en-GB"/>
              </w:rPr>
            </w:pPr>
          </w:p>
          <w:p w14:paraId="3E988104" w14:textId="3E3AFA99" w:rsidR="00AB4983" w:rsidRPr="00AB0C4E" w:rsidRDefault="00AB4983" w:rsidP="00AB4983">
            <w:pPr>
              <w:rPr>
                <w:sz w:val="18"/>
                <w:lang w:val="en-GB"/>
              </w:rPr>
            </w:pPr>
          </w:p>
        </w:tc>
        <w:tc>
          <w:tcPr>
            <w:tcW w:w="1807" w:type="dxa"/>
          </w:tcPr>
          <w:p w14:paraId="7B9A46C6" w14:textId="758DED98" w:rsidR="00AB4983" w:rsidRPr="00AB0C4E" w:rsidRDefault="00AB4983" w:rsidP="00AB4983">
            <w:pPr>
              <w:jc w:val="center"/>
              <w:rPr>
                <w:sz w:val="18"/>
                <w:lang w:val="en-GB"/>
              </w:rPr>
            </w:pPr>
            <w:r>
              <w:rPr>
                <w:sz w:val="18"/>
                <w:lang w:val="en-GB"/>
              </w:rPr>
              <w:t>N/A</w:t>
            </w:r>
          </w:p>
        </w:tc>
      </w:tr>
      <w:tr w:rsidR="00AB4983" w:rsidRPr="00AB0C4E" w14:paraId="4004C4FD" w14:textId="77777777" w:rsidTr="00E34B15">
        <w:tc>
          <w:tcPr>
            <w:tcW w:w="0" w:type="dxa"/>
            <w:vMerge w:val="restart"/>
            <w:vAlign w:val="center"/>
          </w:tcPr>
          <w:p w14:paraId="4259F9AE" w14:textId="1A1689F5" w:rsidR="00AB4983" w:rsidRPr="00AB0C4E" w:rsidRDefault="00AB4983" w:rsidP="00AB4983">
            <w:pPr>
              <w:jc w:val="center"/>
              <w:rPr>
                <w:sz w:val="18"/>
                <w:lang w:val="en-GB"/>
              </w:rPr>
            </w:pPr>
            <w:r w:rsidRPr="00AB0C4E">
              <w:rPr>
                <w:sz w:val="18"/>
                <w:lang w:val="en-GB"/>
              </w:rPr>
              <w:lastRenderedPageBreak/>
              <w:t xml:space="preserve">IFRS 7 </w:t>
            </w:r>
            <w:r w:rsidRPr="00AB0C4E">
              <w:rPr>
                <w:i/>
                <w:iCs/>
                <w:sz w:val="18"/>
                <w:lang w:val="en-GB"/>
              </w:rPr>
              <w:t>Financial Instruments: Disclosures</w:t>
            </w:r>
          </w:p>
        </w:tc>
        <w:tc>
          <w:tcPr>
            <w:tcW w:w="0" w:type="dxa"/>
          </w:tcPr>
          <w:p w14:paraId="10CC7084" w14:textId="0C4FD78F" w:rsidR="00AB4983" w:rsidRPr="00AB0C4E" w:rsidRDefault="00AB4983" w:rsidP="00AB4983">
            <w:pPr>
              <w:rPr>
                <w:sz w:val="18"/>
                <w:lang w:val="en-GB"/>
              </w:rPr>
            </w:pPr>
            <w:r w:rsidRPr="00AB0C4E">
              <w:rPr>
                <w:sz w:val="18"/>
                <w:lang w:val="en-GB"/>
              </w:rPr>
              <w:t>IFRS 7.20(a)(v) and (vi): disclose in the statement of comprehensive income or in the notes the net gains or net losses on financial liabilities and financial assets measured at amortised cost.</w:t>
            </w:r>
          </w:p>
        </w:tc>
        <w:tc>
          <w:tcPr>
            <w:tcW w:w="0" w:type="dxa"/>
          </w:tcPr>
          <w:p w14:paraId="724CF5CB" w14:textId="77777777" w:rsidR="00AB4983" w:rsidRPr="00AB0C4E" w:rsidRDefault="00AB4983" w:rsidP="00AB4983">
            <w:pPr>
              <w:rPr>
                <w:sz w:val="18"/>
                <w:lang w:val="en-GB"/>
              </w:rPr>
            </w:pPr>
            <w:r w:rsidRPr="00AB0C4E">
              <w:rPr>
                <w:sz w:val="18"/>
                <w:lang w:val="en-GB"/>
              </w:rPr>
              <w:t>Borrowers may have renegotiated the terms of their financial liabilities (e.g. bank loans) in order to defer payments, change security, reduce interest rates, etc. Such adjustments may result in gains or losses relating to financial liabilities measured at amortised cost.</w:t>
            </w:r>
          </w:p>
          <w:p w14:paraId="4340D964" w14:textId="77777777" w:rsidR="00AB4983" w:rsidRPr="00AB0C4E" w:rsidRDefault="00AB4983" w:rsidP="00AB4983">
            <w:pPr>
              <w:rPr>
                <w:sz w:val="18"/>
                <w:lang w:val="en-GB"/>
              </w:rPr>
            </w:pPr>
          </w:p>
          <w:p w14:paraId="0E052570" w14:textId="6A2F5FBE" w:rsidR="00AB4983" w:rsidRPr="00AB0C4E" w:rsidRDefault="00AB4983" w:rsidP="00AB4983">
            <w:pPr>
              <w:rPr>
                <w:sz w:val="18"/>
                <w:lang w:val="en-GB"/>
              </w:rPr>
            </w:pPr>
            <w:r w:rsidRPr="00AB0C4E">
              <w:rPr>
                <w:sz w:val="18"/>
                <w:lang w:val="en-GB"/>
              </w:rPr>
              <w:t xml:space="preserve">Similar gains or losses may be recorded related to an entity’s financial assets measured at amortised cost (e.g. loans receivable) if an entity is a lender. </w:t>
            </w:r>
          </w:p>
        </w:tc>
        <w:tc>
          <w:tcPr>
            <w:tcW w:w="0" w:type="dxa"/>
          </w:tcPr>
          <w:p w14:paraId="7679F6FA" w14:textId="07AEF2E2" w:rsidR="00AB4983" w:rsidRPr="00AB0C4E" w:rsidRDefault="00AB4983" w:rsidP="00AB4983">
            <w:pPr>
              <w:jc w:val="center"/>
              <w:rPr>
                <w:sz w:val="18"/>
                <w:lang w:val="en-GB"/>
              </w:rPr>
            </w:pPr>
            <w:r>
              <w:rPr>
                <w:sz w:val="18"/>
                <w:lang w:val="en-GB"/>
              </w:rPr>
              <w:t>N/A</w:t>
            </w:r>
          </w:p>
        </w:tc>
      </w:tr>
      <w:tr w:rsidR="00AB4983" w:rsidRPr="00AB0C4E" w14:paraId="394B820B" w14:textId="77777777" w:rsidTr="00B26184">
        <w:tc>
          <w:tcPr>
            <w:tcW w:w="1980" w:type="dxa"/>
            <w:vMerge/>
          </w:tcPr>
          <w:p w14:paraId="1D4E9840" w14:textId="77777777" w:rsidR="00AB4983" w:rsidRPr="00AB0C4E" w:rsidRDefault="00AB4983" w:rsidP="00AB4983">
            <w:pPr>
              <w:jc w:val="center"/>
              <w:rPr>
                <w:sz w:val="18"/>
                <w:lang w:val="en-GB"/>
              </w:rPr>
            </w:pPr>
          </w:p>
        </w:tc>
        <w:tc>
          <w:tcPr>
            <w:tcW w:w="3260" w:type="dxa"/>
          </w:tcPr>
          <w:p w14:paraId="6B338BF1" w14:textId="4CC3A210" w:rsidR="00AB4983" w:rsidRPr="00AB0C4E" w:rsidRDefault="00AB4983" w:rsidP="00AB4983">
            <w:pPr>
              <w:rPr>
                <w:sz w:val="18"/>
                <w:lang w:val="en-GB"/>
              </w:rPr>
            </w:pPr>
            <w:r w:rsidRPr="00AB0C4E">
              <w:rPr>
                <w:sz w:val="18"/>
                <w:lang w:val="en-GB"/>
              </w:rPr>
              <w:t xml:space="preserve">IFRS 7.21A-24J: extensive disclosure requirements for entities applying hedge accounting, including an entity’s risk management strategy, how hedging activities affect the amount, timing and uncertainty of future cash flows and the effect of hedge accounting on the entity’s financial statements. </w:t>
            </w:r>
          </w:p>
        </w:tc>
        <w:tc>
          <w:tcPr>
            <w:tcW w:w="6946" w:type="dxa"/>
          </w:tcPr>
          <w:p w14:paraId="04B185A3" w14:textId="77777777" w:rsidR="00AB4983" w:rsidRPr="00AB0C4E" w:rsidRDefault="00AB4983" w:rsidP="00AB4983">
            <w:pPr>
              <w:rPr>
                <w:sz w:val="18"/>
                <w:lang w:val="en-GB"/>
              </w:rPr>
            </w:pPr>
            <w:r w:rsidRPr="00AB0C4E">
              <w:rPr>
                <w:sz w:val="18"/>
                <w:lang w:val="en-GB"/>
              </w:rPr>
              <w:t xml:space="preserve">The financial effects of COVID-19 may result in significant changes to an entity’s operations, including the expected timing and amount of cash flows as well as the values of items designated in fair value hedges. This may adjust an entity’s risk management strategy as well as the effectiveness of its hedging relationships. In some cases, hedging relationships may no longer satisfy the criteria in IAS 39/IFRS 9 to apply hedge accounting. </w:t>
            </w:r>
          </w:p>
          <w:p w14:paraId="768E6718" w14:textId="77777777" w:rsidR="00AB4983" w:rsidRPr="00AB0C4E" w:rsidRDefault="00AB4983" w:rsidP="00AB4983">
            <w:pPr>
              <w:rPr>
                <w:sz w:val="18"/>
                <w:lang w:val="en-GB"/>
              </w:rPr>
            </w:pPr>
          </w:p>
          <w:p w14:paraId="6C0548D3" w14:textId="77777777" w:rsidR="00AB4983" w:rsidRDefault="00AB4983" w:rsidP="00AB4983">
            <w:pPr>
              <w:rPr>
                <w:sz w:val="18"/>
                <w:lang w:val="en-GB"/>
              </w:rPr>
            </w:pPr>
            <w:r w:rsidRPr="00AB0C4E">
              <w:rPr>
                <w:sz w:val="18"/>
                <w:lang w:val="en-GB"/>
              </w:rPr>
              <w:t>These changes would necessitate disclosure in accordance with IFRS 7. For entities whose hedging relationships are also affected by interest rate benchmark reform, those entities should also consider the recent amendments to IFRS 7 (IFRS 7.24H-24J).</w:t>
            </w:r>
          </w:p>
          <w:p w14:paraId="028B6519" w14:textId="77777777" w:rsidR="00AB4983" w:rsidRDefault="00AB4983" w:rsidP="00AB4983">
            <w:pPr>
              <w:rPr>
                <w:sz w:val="18"/>
                <w:lang w:val="en-GB"/>
              </w:rPr>
            </w:pPr>
          </w:p>
          <w:p w14:paraId="1BE35E6D" w14:textId="77777777" w:rsidR="00AB4983" w:rsidRDefault="00AB4983" w:rsidP="00AB4983">
            <w:pPr>
              <w:rPr>
                <w:sz w:val="18"/>
                <w:lang w:val="en-GB"/>
              </w:rPr>
            </w:pPr>
          </w:p>
          <w:p w14:paraId="599CB89C" w14:textId="77777777" w:rsidR="00AB4983" w:rsidRDefault="00AB4983" w:rsidP="00AB4983">
            <w:pPr>
              <w:rPr>
                <w:sz w:val="18"/>
                <w:lang w:val="en-GB"/>
              </w:rPr>
            </w:pPr>
          </w:p>
          <w:p w14:paraId="1FD178CF" w14:textId="77777777" w:rsidR="00AB4983" w:rsidRDefault="00AB4983" w:rsidP="00AB4983">
            <w:pPr>
              <w:rPr>
                <w:sz w:val="18"/>
                <w:lang w:val="en-GB"/>
              </w:rPr>
            </w:pPr>
          </w:p>
          <w:p w14:paraId="483DE221" w14:textId="77777777" w:rsidR="00AB4983" w:rsidRDefault="00AB4983" w:rsidP="00AB4983">
            <w:pPr>
              <w:rPr>
                <w:sz w:val="18"/>
                <w:lang w:val="en-GB"/>
              </w:rPr>
            </w:pPr>
          </w:p>
          <w:p w14:paraId="4AA573A3" w14:textId="77777777" w:rsidR="00AB4983" w:rsidRDefault="00AB4983" w:rsidP="00AB4983">
            <w:pPr>
              <w:rPr>
                <w:sz w:val="18"/>
                <w:lang w:val="en-GB"/>
              </w:rPr>
            </w:pPr>
          </w:p>
          <w:p w14:paraId="7AD1F1B2" w14:textId="77777777" w:rsidR="00AB4983" w:rsidRDefault="00AB4983" w:rsidP="00AB4983">
            <w:pPr>
              <w:rPr>
                <w:sz w:val="18"/>
                <w:lang w:val="en-GB"/>
              </w:rPr>
            </w:pPr>
          </w:p>
          <w:p w14:paraId="338C7B56" w14:textId="3723FDF2" w:rsidR="00AB4983" w:rsidRPr="00AB0C4E" w:rsidRDefault="00AB4983" w:rsidP="00AB4983">
            <w:pPr>
              <w:rPr>
                <w:sz w:val="18"/>
                <w:lang w:val="en-GB"/>
              </w:rPr>
            </w:pPr>
          </w:p>
        </w:tc>
        <w:tc>
          <w:tcPr>
            <w:tcW w:w="1807" w:type="dxa"/>
          </w:tcPr>
          <w:p w14:paraId="2F64638A" w14:textId="76195A9D" w:rsidR="00AB4983" w:rsidRPr="00AB0C4E" w:rsidRDefault="00AB4983" w:rsidP="00AB4983">
            <w:pPr>
              <w:jc w:val="center"/>
              <w:rPr>
                <w:sz w:val="18"/>
                <w:lang w:val="en-GB"/>
              </w:rPr>
            </w:pPr>
            <w:r>
              <w:rPr>
                <w:sz w:val="18"/>
                <w:lang w:val="en-GB"/>
              </w:rPr>
              <w:t>N/A</w:t>
            </w:r>
          </w:p>
        </w:tc>
      </w:tr>
      <w:tr w:rsidR="00F67B73" w:rsidRPr="00AB0C4E" w14:paraId="3692BF88" w14:textId="77777777" w:rsidTr="00E34B15">
        <w:tc>
          <w:tcPr>
            <w:tcW w:w="0" w:type="dxa"/>
            <w:vMerge w:val="restart"/>
            <w:vAlign w:val="center"/>
          </w:tcPr>
          <w:p w14:paraId="781E14AF" w14:textId="2497BFE2" w:rsidR="00F67B73" w:rsidRPr="00AB0C4E" w:rsidRDefault="00F67B73" w:rsidP="00F67B73">
            <w:pPr>
              <w:jc w:val="center"/>
              <w:rPr>
                <w:sz w:val="18"/>
                <w:lang w:val="en-GB"/>
              </w:rPr>
            </w:pPr>
            <w:r w:rsidRPr="00AB0C4E">
              <w:rPr>
                <w:sz w:val="18"/>
                <w:lang w:val="en-GB"/>
              </w:rPr>
              <w:lastRenderedPageBreak/>
              <w:t xml:space="preserve">IFRS 7 </w:t>
            </w:r>
            <w:r w:rsidRPr="00AB0C4E">
              <w:rPr>
                <w:i/>
                <w:iCs/>
                <w:sz w:val="18"/>
                <w:lang w:val="en-GB"/>
              </w:rPr>
              <w:t>Financial Instruments: Disclosures</w:t>
            </w:r>
          </w:p>
        </w:tc>
        <w:tc>
          <w:tcPr>
            <w:tcW w:w="0" w:type="dxa"/>
          </w:tcPr>
          <w:p w14:paraId="350C84E5" w14:textId="1F0FFD77" w:rsidR="00F67B73" w:rsidRPr="00AB0C4E" w:rsidRDefault="00F67B73" w:rsidP="00F67B73">
            <w:pPr>
              <w:rPr>
                <w:sz w:val="18"/>
                <w:lang w:val="en-GB"/>
              </w:rPr>
            </w:pPr>
            <w:r w:rsidRPr="00AB0C4E">
              <w:rPr>
                <w:sz w:val="18"/>
                <w:lang w:val="en-GB"/>
              </w:rPr>
              <w:t xml:space="preserve">IFRS 7.35A-38: disclose quantitative and qualitative information about the entity’s exposure to credit risk and its objectives, policies and processes for managing risk including any changes in exposure or policy from the previous period. </w:t>
            </w:r>
          </w:p>
        </w:tc>
        <w:tc>
          <w:tcPr>
            <w:tcW w:w="0" w:type="dxa"/>
          </w:tcPr>
          <w:p w14:paraId="3C5320D4" w14:textId="64C7F1C2" w:rsidR="00F67B73" w:rsidRPr="00AB0C4E" w:rsidRDefault="00F67B73" w:rsidP="00F67B73">
            <w:pPr>
              <w:rPr>
                <w:sz w:val="18"/>
                <w:lang w:val="en-GB"/>
              </w:rPr>
            </w:pPr>
            <w:r w:rsidRPr="00AB0C4E">
              <w:rPr>
                <w:sz w:val="18"/>
                <w:lang w:val="en-GB"/>
              </w:rPr>
              <w:t>For credit entities (e.g. banks and entities wh</w:t>
            </w:r>
            <w:r>
              <w:rPr>
                <w:sz w:val="18"/>
                <w:lang w:val="en-GB"/>
              </w:rPr>
              <w:t>ich</w:t>
            </w:r>
            <w:r w:rsidRPr="00AB0C4E">
              <w:rPr>
                <w:sz w:val="18"/>
                <w:lang w:val="en-GB"/>
              </w:rPr>
              <w:t xml:space="preserve"> extend credit as a primary business activity), the financial effects of COVID-19 on </w:t>
            </w:r>
            <w:r>
              <w:rPr>
                <w:sz w:val="18"/>
                <w:lang w:val="en-GB"/>
              </w:rPr>
              <w:t>their</w:t>
            </w:r>
            <w:r w:rsidRPr="00AB0C4E">
              <w:rPr>
                <w:sz w:val="18"/>
                <w:lang w:val="en-GB"/>
              </w:rPr>
              <w:t xml:space="preserve"> exposure to credit risk and the associated credit risk management policies are likely to be significant. Lenders may have offered forbearance or modifications to loans, which require disclosure. Expected credit losses may have changed significantly, including the models utilised by management</w:t>
            </w:r>
            <w:r>
              <w:rPr>
                <w:sz w:val="18"/>
                <w:lang w:val="en-GB"/>
              </w:rPr>
              <w:t>, and adjustments to amounts derived from models (‘overlays’) may have been used</w:t>
            </w:r>
            <w:r w:rsidRPr="00AB0C4E">
              <w:rPr>
                <w:sz w:val="18"/>
                <w:lang w:val="en-GB"/>
              </w:rPr>
              <w:t>. These changes in estimate</w:t>
            </w:r>
            <w:r>
              <w:rPr>
                <w:sz w:val="18"/>
                <w:lang w:val="en-GB"/>
              </w:rPr>
              <w:t>s</w:t>
            </w:r>
            <w:r w:rsidRPr="00AB0C4E">
              <w:rPr>
                <w:sz w:val="18"/>
                <w:lang w:val="en-GB"/>
              </w:rPr>
              <w:t xml:space="preserve"> may include changes in financial assumption</w:t>
            </w:r>
            <w:r>
              <w:rPr>
                <w:sz w:val="18"/>
                <w:lang w:val="en-GB"/>
              </w:rPr>
              <w:t>s</w:t>
            </w:r>
            <w:r w:rsidRPr="00AB0C4E">
              <w:rPr>
                <w:sz w:val="18"/>
                <w:lang w:val="en-GB"/>
              </w:rPr>
              <w:t xml:space="preserve"> (e.g. the value of underlying security) and the way expected credit losses are estimated (e.g. historical loss rates adjusted for forward-looking information plus manual ‘overlays’ of additional expected credit losses).Note that the disclosures required by a credit entity due to COVID-19 are likely to extensive and are beyond the scope of this publication. Disclosures included in Section B relate to those that may be made by a non-credit entity, whose primary exposure to credit risk relates to trade receivables where expected credit losses have been measured based on lifetime expected credit losses (IFRS 9.5.5.15). </w:t>
            </w:r>
          </w:p>
        </w:tc>
        <w:tc>
          <w:tcPr>
            <w:tcW w:w="0" w:type="dxa"/>
          </w:tcPr>
          <w:p w14:paraId="5C1F4479" w14:textId="2D3882FA" w:rsidR="00F67B73" w:rsidRPr="00AB0C4E" w:rsidRDefault="00AD245C" w:rsidP="00F67B73">
            <w:pPr>
              <w:jc w:val="center"/>
              <w:rPr>
                <w:sz w:val="18"/>
                <w:lang w:val="en-GB"/>
              </w:rPr>
            </w:pPr>
            <w:hyperlink w:anchor="B10" w:history="1">
              <w:r w:rsidR="00F67B73" w:rsidRPr="00AD245C">
                <w:rPr>
                  <w:rStyle w:val="Hyperlink"/>
                  <w:sz w:val="18"/>
                  <w:lang w:val="en-GB"/>
                </w:rPr>
                <w:t>B.10</w:t>
              </w:r>
            </w:hyperlink>
          </w:p>
        </w:tc>
      </w:tr>
      <w:tr w:rsidR="00F67B73" w:rsidRPr="00AB0C4E" w14:paraId="29310720" w14:textId="77777777" w:rsidTr="00B26184">
        <w:tc>
          <w:tcPr>
            <w:tcW w:w="1980" w:type="dxa"/>
            <w:vMerge/>
          </w:tcPr>
          <w:p w14:paraId="48CD6737" w14:textId="77777777" w:rsidR="00F67B73" w:rsidRPr="00AB0C4E" w:rsidRDefault="00F67B73" w:rsidP="00F67B73">
            <w:pPr>
              <w:jc w:val="center"/>
              <w:rPr>
                <w:sz w:val="18"/>
                <w:lang w:val="en-GB"/>
              </w:rPr>
            </w:pPr>
          </w:p>
        </w:tc>
        <w:tc>
          <w:tcPr>
            <w:tcW w:w="3260" w:type="dxa"/>
          </w:tcPr>
          <w:p w14:paraId="0AFD939B" w14:textId="305336D4" w:rsidR="00F67B73" w:rsidRPr="00AB0C4E" w:rsidRDefault="00F67B73" w:rsidP="00F67B73">
            <w:pPr>
              <w:rPr>
                <w:sz w:val="18"/>
                <w:lang w:val="en-GB"/>
              </w:rPr>
            </w:pPr>
            <w:r w:rsidRPr="00AB0C4E">
              <w:rPr>
                <w:sz w:val="18"/>
                <w:lang w:val="en-GB"/>
              </w:rPr>
              <w:t>IFRS 7.39: disclose quantitative and qualitative information about the entity’s exposure to liquidity risk and its objectives, policies and processes for managing risk including any changes in exposure or policy from the previous period.</w:t>
            </w:r>
          </w:p>
        </w:tc>
        <w:tc>
          <w:tcPr>
            <w:tcW w:w="6946" w:type="dxa"/>
          </w:tcPr>
          <w:p w14:paraId="240A53A8" w14:textId="77777777" w:rsidR="00F67B73" w:rsidRPr="00AB0C4E" w:rsidRDefault="00F67B73" w:rsidP="00F67B73">
            <w:pPr>
              <w:rPr>
                <w:sz w:val="18"/>
                <w:lang w:val="en-GB"/>
              </w:rPr>
            </w:pPr>
            <w:r w:rsidRPr="00AB0C4E">
              <w:rPr>
                <w:sz w:val="18"/>
                <w:lang w:val="en-GB"/>
              </w:rPr>
              <w:t xml:space="preserve">Changes to the payment terms of financial liabilities may require an entity’s maturity analysis of financial liabilities to be adjusted. </w:t>
            </w:r>
          </w:p>
          <w:p w14:paraId="7153BA14" w14:textId="77777777" w:rsidR="00F67B73" w:rsidRPr="00AB0C4E" w:rsidRDefault="00F67B73" w:rsidP="00F67B73">
            <w:pPr>
              <w:rPr>
                <w:sz w:val="18"/>
                <w:lang w:val="en-GB"/>
              </w:rPr>
            </w:pPr>
          </w:p>
          <w:p w14:paraId="3D1466FE" w14:textId="1D421B5E" w:rsidR="00F67B73" w:rsidRPr="00AB0C4E" w:rsidRDefault="00F67B73" w:rsidP="00F67B73">
            <w:pPr>
              <w:rPr>
                <w:sz w:val="18"/>
                <w:lang w:val="en-GB"/>
              </w:rPr>
            </w:pPr>
            <w:r w:rsidRPr="00AB0C4E">
              <w:rPr>
                <w:sz w:val="18"/>
                <w:lang w:val="en-GB"/>
              </w:rPr>
              <w:t xml:space="preserve">Significant changes in liquidity risk may also result in an entity revising its judgement about the time bands used to disclose contractual maturities. Entities commonly use the time bands noted in IFRS 7.B11(a)-(d) in disclosing </w:t>
            </w:r>
            <w:r>
              <w:rPr>
                <w:sz w:val="18"/>
                <w:lang w:val="en-GB"/>
              </w:rPr>
              <w:t>their</w:t>
            </w:r>
            <w:r w:rsidRPr="00AB0C4E">
              <w:rPr>
                <w:sz w:val="18"/>
                <w:lang w:val="en-GB"/>
              </w:rPr>
              <w:t xml:space="preserve"> maturity analysis, however, changes in liquidity risk may require entities to revise these time bands. For example, if the weighting of contractual cash flows was evenly distributed over the next 5 years, an entity may have used time bands of 1 year each. </w:t>
            </w:r>
            <w:r>
              <w:rPr>
                <w:sz w:val="18"/>
                <w:lang w:val="en-GB"/>
              </w:rPr>
              <w:t>Changes in liquidity risk</w:t>
            </w:r>
            <w:r w:rsidRPr="00AB0C4E">
              <w:rPr>
                <w:sz w:val="18"/>
                <w:lang w:val="en-GB"/>
              </w:rPr>
              <w:t xml:space="preserve"> may </w:t>
            </w:r>
            <w:r>
              <w:rPr>
                <w:sz w:val="18"/>
                <w:lang w:val="en-GB"/>
              </w:rPr>
              <w:t>require</w:t>
            </w:r>
            <w:r w:rsidRPr="00AB0C4E">
              <w:rPr>
                <w:sz w:val="18"/>
                <w:lang w:val="en-GB"/>
              </w:rPr>
              <w:t xml:space="preserve"> an adjustment of the appropriate time bands. </w:t>
            </w:r>
          </w:p>
        </w:tc>
        <w:tc>
          <w:tcPr>
            <w:tcW w:w="1807" w:type="dxa"/>
          </w:tcPr>
          <w:p w14:paraId="52BFF544" w14:textId="4536604A" w:rsidR="00F67B73" w:rsidRPr="00AB0C4E" w:rsidRDefault="00F67B73" w:rsidP="00F67B73">
            <w:pPr>
              <w:jc w:val="center"/>
              <w:rPr>
                <w:sz w:val="18"/>
                <w:lang w:val="en-GB"/>
              </w:rPr>
            </w:pPr>
            <w:r>
              <w:rPr>
                <w:sz w:val="18"/>
                <w:lang w:val="en-GB"/>
              </w:rPr>
              <w:t>N/A</w:t>
            </w:r>
          </w:p>
        </w:tc>
      </w:tr>
      <w:tr w:rsidR="00F67B73" w:rsidRPr="00AB0C4E" w14:paraId="1D0C1327" w14:textId="77777777" w:rsidTr="00E34B15">
        <w:tc>
          <w:tcPr>
            <w:tcW w:w="0" w:type="dxa"/>
          </w:tcPr>
          <w:p w14:paraId="78264D35" w14:textId="65B9DA18" w:rsidR="00F67B73" w:rsidRPr="00AB0C4E" w:rsidRDefault="00F67B73" w:rsidP="00F67B73">
            <w:pPr>
              <w:jc w:val="center"/>
              <w:rPr>
                <w:sz w:val="18"/>
                <w:lang w:val="en-GB"/>
              </w:rPr>
            </w:pPr>
            <w:r w:rsidRPr="00AB0C4E">
              <w:rPr>
                <w:sz w:val="18"/>
                <w:lang w:val="en-GB"/>
              </w:rPr>
              <w:lastRenderedPageBreak/>
              <w:t xml:space="preserve">IFRS 7 </w:t>
            </w:r>
            <w:r w:rsidRPr="00AB0C4E">
              <w:rPr>
                <w:i/>
                <w:iCs/>
                <w:sz w:val="18"/>
                <w:lang w:val="en-GB"/>
              </w:rPr>
              <w:t>Financial Instruments: Disclosures</w:t>
            </w:r>
          </w:p>
        </w:tc>
        <w:tc>
          <w:tcPr>
            <w:tcW w:w="0" w:type="dxa"/>
          </w:tcPr>
          <w:p w14:paraId="706CCFB4" w14:textId="6D603845" w:rsidR="00F67B73" w:rsidRPr="00AB0C4E" w:rsidRDefault="00F67B73" w:rsidP="00F67B73">
            <w:pPr>
              <w:rPr>
                <w:sz w:val="18"/>
                <w:lang w:val="en-GB"/>
              </w:rPr>
            </w:pPr>
            <w:r w:rsidRPr="00AB0C4E">
              <w:rPr>
                <w:sz w:val="18"/>
                <w:lang w:val="en-GB"/>
              </w:rPr>
              <w:t>IFRS 7.40-42: disclose quantitative and qualitative information about the entity’s exposure to market risk (e.g. currency, interest rate and other price risk) and its objectives, policies and processes for managing risk including any changes in exposure or policy from the previous period.</w:t>
            </w:r>
          </w:p>
        </w:tc>
        <w:tc>
          <w:tcPr>
            <w:tcW w:w="0" w:type="dxa"/>
          </w:tcPr>
          <w:p w14:paraId="2699F1F3" w14:textId="77777777" w:rsidR="00F67B73" w:rsidRPr="00AB0C4E" w:rsidRDefault="00F67B73" w:rsidP="00F67B73">
            <w:pPr>
              <w:rPr>
                <w:sz w:val="18"/>
                <w:lang w:val="en-GB"/>
              </w:rPr>
            </w:pPr>
            <w:r w:rsidRPr="00AB0C4E">
              <w:rPr>
                <w:sz w:val="18"/>
                <w:lang w:val="en-GB"/>
              </w:rPr>
              <w:t xml:space="preserve">Adjustments to the contractual terms of financial instruments may result in changes to the entity’s sensitivity to market risk. For example, the deferral of loan payments in exchange for an adjustment to a variable interest rate may increase an entity’s exposure to interest rate risk. </w:t>
            </w:r>
          </w:p>
          <w:p w14:paraId="0BA199B6" w14:textId="77777777" w:rsidR="00F67B73" w:rsidRPr="00AB0C4E" w:rsidRDefault="00F67B73" w:rsidP="00F67B73">
            <w:pPr>
              <w:rPr>
                <w:sz w:val="18"/>
                <w:lang w:val="en-GB"/>
              </w:rPr>
            </w:pPr>
          </w:p>
          <w:p w14:paraId="19692A7F" w14:textId="3E37C2D6" w:rsidR="00F67B73" w:rsidRPr="00AB0C4E" w:rsidRDefault="00F67B73" w:rsidP="00F67B73">
            <w:pPr>
              <w:rPr>
                <w:sz w:val="18"/>
                <w:lang w:val="en-GB"/>
              </w:rPr>
            </w:pPr>
            <w:r w:rsidRPr="00AB0C4E">
              <w:rPr>
                <w:sz w:val="18"/>
                <w:lang w:val="en-GB"/>
              </w:rPr>
              <w:t xml:space="preserve">The financial effects of COVID-19 have also resulted in increased volatility in the value of certain currencies, which may affect an entity’s exposure to reasonably possibly changes in risk variables. </w:t>
            </w:r>
          </w:p>
        </w:tc>
        <w:tc>
          <w:tcPr>
            <w:tcW w:w="0" w:type="dxa"/>
          </w:tcPr>
          <w:p w14:paraId="72901895" w14:textId="6D06E505" w:rsidR="00F67B73" w:rsidRPr="00AB0C4E" w:rsidRDefault="00F67B73" w:rsidP="00F67B73">
            <w:pPr>
              <w:jc w:val="center"/>
              <w:rPr>
                <w:sz w:val="18"/>
                <w:lang w:val="en-GB"/>
              </w:rPr>
            </w:pPr>
            <w:r>
              <w:rPr>
                <w:sz w:val="18"/>
                <w:lang w:val="en-GB"/>
              </w:rPr>
              <w:t>N/A</w:t>
            </w:r>
          </w:p>
        </w:tc>
      </w:tr>
      <w:tr w:rsidR="00F67B73" w:rsidRPr="00AB0C4E" w14:paraId="58892B71" w14:textId="77777777" w:rsidTr="00B26184">
        <w:tc>
          <w:tcPr>
            <w:tcW w:w="1980" w:type="dxa"/>
          </w:tcPr>
          <w:p w14:paraId="6DFB2740" w14:textId="173B86A9" w:rsidR="00F67B73" w:rsidRPr="00AB0C4E" w:rsidRDefault="00F67B73" w:rsidP="00F67B73">
            <w:pPr>
              <w:jc w:val="center"/>
              <w:rPr>
                <w:i/>
                <w:iCs/>
                <w:sz w:val="18"/>
                <w:lang w:val="en-GB"/>
              </w:rPr>
            </w:pPr>
            <w:r w:rsidRPr="00AB0C4E">
              <w:rPr>
                <w:sz w:val="18"/>
                <w:lang w:val="en-GB"/>
              </w:rPr>
              <w:t xml:space="preserve">IFRS 8 </w:t>
            </w:r>
            <w:r w:rsidRPr="00AB0C4E">
              <w:rPr>
                <w:i/>
                <w:iCs/>
                <w:sz w:val="18"/>
                <w:lang w:val="en-GB"/>
              </w:rPr>
              <w:t>Operating Segments</w:t>
            </w:r>
          </w:p>
        </w:tc>
        <w:tc>
          <w:tcPr>
            <w:tcW w:w="3260" w:type="dxa"/>
          </w:tcPr>
          <w:p w14:paraId="571DC260" w14:textId="6526C8A7" w:rsidR="00F67B73" w:rsidRPr="00AB0C4E" w:rsidRDefault="00F67B73" w:rsidP="00F67B73">
            <w:pPr>
              <w:rPr>
                <w:sz w:val="18"/>
                <w:lang w:val="en-GB"/>
              </w:rPr>
            </w:pPr>
            <w:r w:rsidRPr="00AB0C4E">
              <w:rPr>
                <w:sz w:val="18"/>
                <w:lang w:val="en-GB"/>
              </w:rPr>
              <w:t xml:space="preserve">IFRS 8.20-21: disclose information about operating segments to enable users to understand the nature of business activities and the economic environments in which it operates. </w:t>
            </w:r>
          </w:p>
        </w:tc>
        <w:tc>
          <w:tcPr>
            <w:tcW w:w="6946" w:type="dxa"/>
          </w:tcPr>
          <w:p w14:paraId="35F0B27A" w14:textId="7DAA5E60" w:rsidR="00F67B73" w:rsidRPr="00AB0C4E" w:rsidRDefault="00F67B73" w:rsidP="00F67B73">
            <w:pPr>
              <w:rPr>
                <w:sz w:val="18"/>
                <w:lang w:val="en-GB"/>
              </w:rPr>
            </w:pPr>
            <w:r w:rsidRPr="00AB0C4E">
              <w:rPr>
                <w:sz w:val="18"/>
                <w:lang w:val="en-GB"/>
              </w:rPr>
              <w:t>The financial effects of COVID-19 may result in changes to the size and/or composition of operating segments, and the number of inter-segment transactions occurring.</w:t>
            </w:r>
          </w:p>
          <w:p w14:paraId="6D7B4D98" w14:textId="77777777" w:rsidR="00F67B73" w:rsidRPr="00AB0C4E" w:rsidRDefault="00F67B73" w:rsidP="00F67B73">
            <w:pPr>
              <w:rPr>
                <w:sz w:val="18"/>
                <w:lang w:val="en-GB"/>
              </w:rPr>
            </w:pPr>
          </w:p>
          <w:p w14:paraId="2BB6CE18" w14:textId="1BC8657C" w:rsidR="00F67B73" w:rsidRPr="00AB0C4E" w:rsidRDefault="00F67B73" w:rsidP="00F67B73">
            <w:pPr>
              <w:rPr>
                <w:sz w:val="18"/>
                <w:lang w:val="en-GB"/>
              </w:rPr>
            </w:pPr>
            <w:r w:rsidRPr="00AB0C4E">
              <w:rPr>
                <w:sz w:val="18"/>
                <w:lang w:val="en-GB"/>
              </w:rPr>
              <w:t>Additionally, because the disclosure of operating segments is subject to quantitative rules (IFRS 8.13-15), changes in the results of operating segments may result in an adjustment to the number of operating segments reported and which operating segments are disclosed.</w:t>
            </w:r>
          </w:p>
        </w:tc>
        <w:tc>
          <w:tcPr>
            <w:tcW w:w="1807" w:type="dxa"/>
          </w:tcPr>
          <w:p w14:paraId="1F0D33CE" w14:textId="326F8310" w:rsidR="00F67B73" w:rsidRPr="00AB0C4E" w:rsidRDefault="00F67B73" w:rsidP="00F67B73">
            <w:pPr>
              <w:jc w:val="center"/>
              <w:rPr>
                <w:sz w:val="18"/>
                <w:lang w:val="en-GB"/>
              </w:rPr>
            </w:pPr>
            <w:r>
              <w:rPr>
                <w:sz w:val="18"/>
                <w:lang w:val="en-GB"/>
              </w:rPr>
              <w:t>N/A</w:t>
            </w:r>
          </w:p>
        </w:tc>
      </w:tr>
      <w:tr w:rsidR="00F67B73" w:rsidRPr="00AB0C4E" w14:paraId="0697C58E" w14:textId="77777777" w:rsidTr="00B26184">
        <w:tc>
          <w:tcPr>
            <w:tcW w:w="1980" w:type="dxa"/>
          </w:tcPr>
          <w:p w14:paraId="77EA636C" w14:textId="4EC6B380" w:rsidR="00F67B73" w:rsidRPr="00AB0C4E" w:rsidRDefault="00F67B73" w:rsidP="00F67B73">
            <w:pPr>
              <w:jc w:val="center"/>
              <w:rPr>
                <w:i/>
                <w:iCs/>
                <w:sz w:val="18"/>
                <w:lang w:val="en-GB"/>
              </w:rPr>
            </w:pPr>
            <w:r w:rsidRPr="00AB0C4E">
              <w:rPr>
                <w:sz w:val="18"/>
                <w:lang w:val="en-GB"/>
              </w:rPr>
              <w:t xml:space="preserve">IFRS 13 </w:t>
            </w:r>
            <w:r w:rsidRPr="00AB0C4E">
              <w:rPr>
                <w:i/>
                <w:iCs/>
                <w:sz w:val="18"/>
                <w:lang w:val="en-GB"/>
              </w:rPr>
              <w:t>Fair Value Measurement</w:t>
            </w:r>
          </w:p>
        </w:tc>
        <w:tc>
          <w:tcPr>
            <w:tcW w:w="3260" w:type="dxa"/>
          </w:tcPr>
          <w:p w14:paraId="75F5266F" w14:textId="0188C949" w:rsidR="00F67B73" w:rsidRPr="00AB0C4E" w:rsidRDefault="00F67B73" w:rsidP="00F67B73">
            <w:pPr>
              <w:rPr>
                <w:sz w:val="18"/>
                <w:lang w:val="en-GB"/>
              </w:rPr>
            </w:pPr>
            <w:r w:rsidRPr="00AB0C4E">
              <w:rPr>
                <w:sz w:val="18"/>
                <w:lang w:val="en-GB"/>
              </w:rPr>
              <w:t xml:space="preserve">IFRS 13.91-99: disclose information about fair value measurement in financial statements, including significant assumptions, valuation techniques, inputs used, sensitivity of the fair value measurement to unobservable inputs, etc. </w:t>
            </w:r>
          </w:p>
        </w:tc>
        <w:tc>
          <w:tcPr>
            <w:tcW w:w="6946" w:type="dxa"/>
          </w:tcPr>
          <w:p w14:paraId="708F872A" w14:textId="542AD268" w:rsidR="00F67B73" w:rsidRPr="00AB0C4E" w:rsidRDefault="00F67B73" w:rsidP="00F67B73">
            <w:pPr>
              <w:rPr>
                <w:sz w:val="18"/>
                <w:lang w:val="en-GB"/>
              </w:rPr>
            </w:pPr>
            <w:r w:rsidRPr="00AB0C4E">
              <w:rPr>
                <w:sz w:val="18"/>
                <w:lang w:val="en-GB"/>
              </w:rPr>
              <w:t xml:space="preserve">Various IFRSs require fair value measurement, including numerous IFRSs that permit or require recurring fair value measurement (e.g. IAS 40, IAS 16, IFRS 9, etc.). The financial effects of COVID-19, including volatility in underlying financial and non-financial assumptions may result in significant adjustments to disclosures of unobservable inputs and valuation techniques used to estimate fair value. </w:t>
            </w:r>
          </w:p>
          <w:p w14:paraId="5E79605E" w14:textId="77777777" w:rsidR="00F67B73" w:rsidRPr="00AB0C4E" w:rsidRDefault="00F67B73" w:rsidP="00F67B73">
            <w:pPr>
              <w:rPr>
                <w:sz w:val="18"/>
                <w:lang w:val="en-GB"/>
              </w:rPr>
            </w:pPr>
          </w:p>
          <w:p w14:paraId="58D0686F" w14:textId="46DE3BFC" w:rsidR="00F67B73" w:rsidRPr="00AB0C4E" w:rsidRDefault="00F67B73" w:rsidP="00F67B73">
            <w:pPr>
              <w:rPr>
                <w:sz w:val="18"/>
                <w:lang w:val="en-GB"/>
              </w:rPr>
            </w:pPr>
            <w:r w:rsidRPr="00AB0C4E">
              <w:rPr>
                <w:sz w:val="18"/>
                <w:lang w:val="en-GB"/>
              </w:rPr>
              <w:t xml:space="preserve">In determining the fair value of unquoted equity instruments in the scope of IFRS 9, entities should consult the IASB’s </w:t>
            </w:r>
            <w:hyperlink r:id="rId30" w:history="1">
              <w:r w:rsidRPr="00AB0C4E">
                <w:rPr>
                  <w:rStyle w:val="Hyperlink"/>
                  <w:sz w:val="18"/>
                  <w:lang w:val="en-GB"/>
                </w:rPr>
                <w:t>educational materials</w:t>
              </w:r>
            </w:hyperlink>
            <w:r w:rsidRPr="00AB0C4E">
              <w:rPr>
                <w:sz w:val="18"/>
                <w:lang w:val="en-GB"/>
              </w:rPr>
              <w:t>.</w:t>
            </w:r>
          </w:p>
        </w:tc>
        <w:tc>
          <w:tcPr>
            <w:tcW w:w="1807" w:type="dxa"/>
          </w:tcPr>
          <w:p w14:paraId="4E434AC2" w14:textId="40250A0F" w:rsidR="00F67B73" w:rsidRPr="00AB0C4E" w:rsidRDefault="00F67B73" w:rsidP="00F67B73">
            <w:pPr>
              <w:jc w:val="center"/>
              <w:rPr>
                <w:sz w:val="18"/>
                <w:lang w:val="en-GB"/>
              </w:rPr>
            </w:pPr>
            <w:r>
              <w:rPr>
                <w:sz w:val="18"/>
                <w:lang w:val="en-GB"/>
              </w:rPr>
              <w:t>N/A</w:t>
            </w:r>
          </w:p>
        </w:tc>
      </w:tr>
      <w:tr w:rsidR="00F67B73" w:rsidRPr="00AB0C4E" w14:paraId="4884B69A" w14:textId="77777777" w:rsidTr="00B26184">
        <w:tc>
          <w:tcPr>
            <w:tcW w:w="1980" w:type="dxa"/>
          </w:tcPr>
          <w:p w14:paraId="28BADDF1" w14:textId="2196746B" w:rsidR="00F67B73" w:rsidRPr="00AB0C4E" w:rsidRDefault="00F67B73" w:rsidP="00F67B73">
            <w:pPr>
              <w:jc w:val="center"/>
              <w:rPr>
                <w:i/>
                <w:iCs/>
                <w:sz w:val="18"/>
                <w:lang w:val="en-GB"/>
              </w:rPr>
            </w:pPr>
            <w:r w:rsidRPr="00AB0C4E">
              <w:rPr>
                <w:sz w:val="18"/>
                <w:lang w:val="en-GB"/>
              </w:rPr>
              <w:lastRenderedPageBreak/>
              <w:t xml:space="preserve">IFRS 15 </w:t>
            </w:r>
            <w:r w:rsidRPr="00AB0C4E">
              <w:rPr>
                <w:i/>
                <w:iCs/>
                <w:sz w:val="18"/>
                <w:lang w:val="en-GB"/>
              </w:rPr>
              <w:t>Revenue from Contracts with Customers</w:t>
            </w:r>
          </w:p>
        </w:tc>
        <w:tc>
          <w:tcPr>
            <w:tcW w:w="3260" w:type="dxa"/>
          </w:tcPr>
          <w:p w14:paraId="23E12C16" w14:textId="186B91E1" w:rsidR="00F67B73" w:rsidRPr="00AB0C4E" w:rsidRDefault="00F67B73" w:rsidP="00F67B73">
            <w:pPr>
              <w:rPr>
                <w:sz w:val="18"/>
                <w:lang w:val="en-GB"/>
              </w:rPr>
            </w:pPr>
            <w:r w:rsidRPr="00AB0C4E">
              <w:rPr>
                <w:sz w:val="18"/>
                <w:lang w:val="en-GB"/>
              </w:rPr>
              <w:t>IFRS 15.114: disclose a disaggregation of revenue recognised into categories that depict how the nature, amount, timing and uncertainty of revenue and cash flows are affected by economic factors.</w:t>
            </w:r>
          </w:p>
        </w:tc>
        <w:tc>
          <w:tcPr>
            <w:tcW w:w="6946" w:type="dxa"/>
          </w:tcPr>
          <w:p w14:paraId="3FF90EB7" w14:textId="77777777" w:rsidR="00F67B73" w:rsidRPr="00AB0C4E" w:rsidRDefault="00F67B73" w:rsidP="00F67B73">
            <w:pPr>
              <w:rPr>
                <w:sz w:val="18"/>
                <w:lang w:val="en-GB"/>
              </w:rPr>
            </w:pPr>
            <w:r w:rsidRPr="00AB0C4E">
              <w:rPr>
                <w:sz w:val="18"/>
                <w:lang w:val="en-GB"/>
              </w:rPr>
              <w:t>The financial effects of COVID-19 may affect how an entity determines the manner in which its revenue should be disaggregated. For example, prior to COVID-19, an entity may have disclosed revenue arising from particular geographic regions on an aggregated basis. The effects of COVID-19 may change this geographic composition (e.g. country X may now be a substantial portion of total revenue due to the effects of COVID-19 being less widespread there than others).</w:t>
            </w:r>
          </w:p>
          <w:p w14:paraId="7C4606E2" w14:textId="77777777" w:rsidR="00F67B73" w:rsidRPr="00AB0C4E" w:rsidRDefault="00F67B73" w:rsidP="00F67B73">
            <w:pPr>
              <w:rPr>
                <w:sz w:val="18"/>
                <w:lang w:val="en-GB"/>
              </w:rPr>
            </w:pPr>
          </w:p>
          <w:p w14:paraId="1065110D" w14:textId="0241CD47" w:rsidR="00F67B73" w:rsidRPr="00AB0C4E" w:rsidRDefault="00F67B73" w:rsidP="00F67B73">
            <w:pPr>
              <w:rPr>
                <w:sz w:val="18"/>
                <w:lang w:val="en-GB"/>
              </w:rPr>
            </w:pPr>
            <w:r w:rsidRPr="00AB0C4E">
              <w:rPr>
                <w:sz w:val="18"/>
                <w:lang w:val="en-GB"/>
              </w:rPr>
              <w:t xml:space="preserve">COVID-19 may also change the types of goods or services offered by entities, resulting in changes in disaggregation. For example, an entity may have sold primarily services prior to COVID-19, but due to lockdowns and restrictions imposed by various governments, it may have shifted to different types of goods and services (e.g. online delivery, sale of goods via e-commerce, etc.). </w:t>
            </w:r>
          </w:p>
        </w:tc>
        <w:tc>
          <w:tcPr>
            <w:tcW w:w="1807" w:type="dxa"/>
          </w:tcPr>
          <w:p w14:paraId="104BD706" w14:textId="2B3C6E68" w:rsidR="00F67B73" w:rsidRPr="00AB0C4E" w:rsidRDefault="00F67B73" w:rsidP="00F67B73">
            <w:pPr>
              <w:jc w:val="center"/>
              <w:rPr>
                <w:sz w:val="18"/>
                <w:lang w:val="en-GB"/>
              </w:rPr>
            </w:pPr>
            <w:r>
              <w:rPr>
                <w:sz w:val="18"/>
                <w:lang w:val="en-GB"/>
              </w:rPr>
              <w:t>N/A</w:t>
            </w:r>
          </w:p>
        </w:tc>
      </w:tr>
      <w:tr w:rsidR="00F67B73" w:rsidRPr="00AB0C4E" w14:paraId="2FB90F12" w14:textId="77777777" w:rsidTr="00E34B15">
        <w:tc>
          <w:tcPr>
            <w:tcW w:w="0" w:type="dxa"/>
          </w:tcPr>
          <w:p w14:paraId="4175601B" w14:textId="060B9498" w:rsidR="00F67B73" w:rsidRPr="00AB0C4E" w:rsidRDefault="00F67B73" w:rsidP="00F67B73">
            <w:pPr>
              <w:jc w:val="center"/>
              <w:rPr>
                <w:sz w:val="18"/>
                <w:lang w:val="en-GB"/>
              </w:rPr>
            </w:pPr>
            <w:r w:rsidRPr="00AB0C4E">
              <w:rPr>
                <w:sz w:val="18"/>
                <w:lang w:val="en-GB"/>
              </w:rPr>
              <w:t xml:space="preserve">IFRS 16 </w:t>
            </w:r>
            <w:r w:rsidRPr="00AB0C4E">
              <w:rPr>
                <w:i/>
                <w:iCs/>
                <w:sz w:val="18"/>
                <w:lang w:val="en-GB"/>
              </w:rPr>
              <w:t>Leases</w:t>
            </w:r>
          </w:p>
        </w:tc>
        <w:tc>
          <w:tcPr>
            <w:tcW w:w="0" w:type="dxa"/>
          </w:tcPr>
          <w:p w14:paraId="4EF4B0AB" w14:textId="6C790F54" w:rsidR="00F67B73" w:rsidRPr="00AB0C4E" w:rsidRDefault="00F67B73" w:rsidP="00F67B73">
            <w:pPr>
              <w:rPr>
                <w:sz w:val="18"/>
                <w:lang w:val="en-GB"/>
              </w:rPr>
            </w:pPr>
            <w:r w:rsidRPr="00AB0C4E">
              <w:rPr>
                <w:sz w:val="18"/>
                <w:lang w:val="en-GB"/>
              </w:rPr>
              <w:t xml:space="preserve">IFRS 16.59: disclose qualitative and quantitative information about its leasing activities (e.g. nature of leasing activities, future cash flows not included in the measurement of the lease liability such as variable lease payments, restrictions or covenants imposed by leases, etc.). </w:t>
            </w:r>
          </w:p>
        </w:tc>
        <w:tc>
          <w:tcPr>
            <w:tcW w:w="0" w:type="dxa"/>
          </w:tcPr>
          <w:p w14:paraId="5E5DBB71" w14:textId="77777777" w:rsidR="00F67B73" w:rsidRPr="00AB0C4E" w:rsidRDefault="00F67B73" w:rsidP="00F67B73">
            <w:pPr>
              <w:rPr>
                <w:sz w:val="18"/>
                <w:lang w:val="en-GB"/>
              </w:rPr>
            </w:pPr>
            <w:r w:rsidRPr="00AB0C4E">
              <w:rPr>
                <w:sz w:val="18"/>
                <w:lang w:val="en-GB"/>
              </w:rPr>
              <w:t>The financial and operational impacts of COVID-19 may result in changes to its lease contracts, which require disclosure. For example, IFRS 16.59(b)(</w:t>
            </w:r>
            <w:proofErr w:type="spellStart"/>
            <w:r w:rsidRPr="00AB0C4E">
              <w:rPr>
                <w:sz w:val="18"/>
                <w:lang w:val="en-GB"/>
              </w:rPr>
              <w:t>i</w:t>
            </w:r>
            <w:proofErr w:type="spellEnd"/>
            <w:r w:rsidRPr="00AB0C4E">
              <w:rPr>
                <w:sz w:val="18"/>
                <w:lang w:val="en-GB"/>
              </w:rPr>
              <w:t>) requires an entity to disclose exposure to future cash outflows to which the lessee is potentially exposed that are not reflected in the measurement of lease liabilities. If a lessee modifies its lease contracts to adjust the fixed and variable lease payments (e.g. lower fixed rent in exchange for a higher percentage of sales generated at a retail location), then the entity’s exposure to these ‘off balance sheet’ liabilities may increase.</w:t>
            </w:r>
          </w:p>
          <w:p w14:paraId="24BE4846" w14:textId="77777777" w:rsidR="00F67B73" w:rsidRPr="00AB0C4E" w:rsidRDefault="00F67B73" w:rsidP="00F67B73">
            <w:pPr>
              <w:rPr>
                <w:sz w:val="18"/>
                <w:lang w:val="en-GB"/>
              </w:rPr>
            </w:pPr>
          </w:p>
          <w:p w14:paraId="540C4889" w14:textId="77777777" w:rsidR="00F67B73" w:rsidRDefault="00F67B73" w:rsidP="00F67B73">
            <w:pPr>
              <w:rPr>
                <w:sz w:val="18"/>
                <w:lang w:val="en-GB"/>
              </w:rPr>
            </w:pPr>
            <w:r w:rsidRPr="00AB0C4E">
              <w:rPr>
                <w:sz w:val="18"/>
                <w:lang w:val="en-GB"/>
              </w:rPr>
              <w:t xml:space="preserve">Lease modifications might give rise to other disclosures, such as restrictions or covenants imposed by leases in exchange for forbearance of payments or other concessions provided by lessors to lessees. </w:t>
            </w:r>
          </w:p>
          <w:p w14:paraId="58074276" w14:textId="77777777" w:rsidR="00F67B73" w:rsidRDefault="00F67B73" w:rsidP="00F67B73">
            <w:pPr>
              <w:rPr>
                <w:sz w:val="18"/>
                <w:lang w:val="en-GB"/>
              </w:rPr>
            </w:pPr>
          </w:p>
          <w:p w14:paraId="1C2A6731" w14:textId="6261ABC3" w:rsidR="00F67B73" w:rsidRPr="00AB0C4E" w:rsidRDefault="00F67B73" w:rsidP="00F67B73">
            <w:pPr>
              <w:rPr>
                <w:sz w:val="18"/>
                <w:lang w:val="en-GB"/>
              </w:rPr>
            </w:pPr>
          </w:p>
        </w:tc>
        <w:tc>
          <w:tcPr>
            <w:tcW w:w="0" w:type="dxa"/>
          </w:tcPr>
          <w:p w14:paraId="21C578D4" w14:textId="7044D0E2" w:rsidR="00F67B73" w:rsidRPr="00AB0C4E" w:rsidRDefault="00F67B73" w:rsidP="00F67B73">
            <w:pPr>
              <w:jc w:val="center"/>
              <w:rPr>
                <w:sz w:val="18"/>
                <w:lang w:val="en-GB"/>
              </w:rPr>
            </w:pPr>
            <w:r>
              <w:rPr>
                <w:sz w:val="18"/>
                <w:lang w:val="en-GB"/>
              </w:rPr>
              <w:t>N/A</w:t>
            </w:r>
          </w:p>
        </w:tc>
      </w:tr>
      <w:tr w:rsidR="00F67B73" w:rsidRPr="00AB0C4E" w14:paraId="55E0052A" w14:textId="77777777" w:rsidTr="00E34B15">
        <w:tc>
          <w:tcPr>
            <w:tcW w:w="0" w:type="dxa"/>
          </w:tcPr>
          <w:p w14:paraId="47D9CA6E" w14:textId="085DE0A3" w:rsidR="00F67B73" w:rsidRPr="00AB0C4E" w:rsidRDefault="00F67B73" w:rsidP="00F67B73">
            <w:pPr>
              <w:jc w:val="center"/>
              <w:rPr>
                <w:sz w:val="18"/>
                <w:lang w:val="en-GB"/>
              </w:rPr>
            </w:pPr>
            <w:r w:rsidRPr="00AB0C4E">
              <w:rPr>
                <w:sz w:val="18"/>
                <w:lang w:val="en-GB"/>
              </w:rPr>
              <w:lastRenderedPageBreak/>
              <w:t xml:space="preserve">IFRS 16 </w:t>
            </w:r>
            <w:r w:rsidRPr="00AB0C4E">
              <w:rPr>
                <w:i/>
                <w:iCs/>
                <w:sz w:val="18"/>
                <w:lang w:val="en-GB"/>
              </w:rPr>
              <w:t>Leases</w:t>
            </w:r>
          </w:p>
        </w:tc>
        <w:tc>
          <w:tcPr>
            <w:tcW w:w="0" w:type="dxa"/>
          </w:tcPr>
          <w:p w14:paraId="0937C19F" w14:textId="0B7012F2" w:rsidR="00F67B73" w:rsidRPr="00AB0C4E" w:rsidRDefault="00F67B73" w:rsidP="00F67B73">
            <w:pPr>
              <w:rPr>
                <w:sz w:val="18"/>
                <w:lang w:val="en-GB"/>
              </w:rPr>
            </w:pPr>
            <w:r w:rsidRPr="00AB0C4E">
              <w:rPr>
                <w:sz w:val="18"/>
                <w:lang w:val="en-GB"/>
              </w:rPr>
              <w:t xml:space="preserve">IFRS 16.60A: if an entity elects to use the practical expedient introduced by </w:t>
            </w:r>
            <w:r w:rsidRPr="00AB0C4E">
              <w:rPr>
                <w:i/>
                <w:iCs/>
                <w:sz w:val="18"/>
                <w:lang w:val="en-GB"/>
              </w:rPr>
              <w:t>COVID-19 Related Rent Concessions</w:t>
            </w:r>
            <w:r w:rsidRPr="00AB0C4E">
              <w:rPr>
                <w:sz w:val="18"/>
                <w:lang w:val="en-GB"/>
              </w:rPr>
              <w:t xml:space="preserve">, disclose that it has used the practical expedient to all lease concessions satisfying the criteria for its use or if not applied consistently, information about the nature of the contracts to which the practical expedient has been applied. An entity must also disclose the amount recognised in profit or loss to reflect changes in lease payments that arise from rent concessions to which the practical expedient has been applied. </w:t>
            </w:r>
          </w:p>
        </w:tc>
        <w:tc>
          <w:tcPr>
            <w:tcW w:w="0" w:type="dxa"/>
          </w:tcPr>
          <w:p w14:paraId="694ED335" w14:textId="77777777" w:rsidR="00F67B73" w:rsidRPr="00AB0C4E" w:rsidRDefault="00F67B73" w:rsidP="00F67B73">
            <w:pPr>
              <w:rPr>
                <w:sz w:val="18"/>
                <w:lang w:val="en-GB"/>
              </w:rPr>
            </w:pPr>
            <w:r w:rsidRPr="00AB0C4E">
              <w:rPr>
                <w:sz w:val="18"/>
                <w:lang w:val="en-GB"/>
              </w:rPr>
              <w:t>The financial effects of COVID-19 have resulted in lessors providing a wide variety of rent concessions to lessees. Concessions accounted for in accordance with the practical expedient must be disclosed, including the effect in profit or loss arising from the utilisation of the practical expedient.</w:t>
            </w:r>
          </w:p>
          <w:p w14:paraId="5625ABFC" w14:textId="77777777" w:rsidR="00F67B73" w:rsidRPr="00AB0C4E" w:rsidRDefault="00F67B73" w:rsidP="00F67B73">
            <w:pPr>
              <w:rPr>
                <w:sz w:val="18"/>
                <w:lang w:val="en-GB"/>
              </w:rPr>
            </w:pPr>
          </w:p>
          <w:p w14:paraId="3B0B9434" w14:textId="553EF58F" w:rsidR="00F67B73" w:rsidRPr="00AB0C4E" w:rsidRDefault="00F67B73" w:rsidP="00F67B73">
            <w:pPr>
              <w:rPr>
                <w:sz w:val="18"/>
                <w:lang w:val="en-GB"/>
              </w:rPr>
            </w:pPr>
            <w:r w:rsidRPr="00AB0C4E">
              <w:rPr>
                <w:sz w:val="18"/>
                <w:lang w:val="en-GB"/>
              </w:rPr>
              <w:t xml:space="preserve">For further information on the practical implications of the practical expedient, refer to </w:t>
            </w:r>
            <w:proofErr w:type="spellStart"/>
            <w:r w:rsidRPr="00AB0C4E">
              <w:rPr>
                <w:sz w:val="18"/>
                <w:lang w:val="en-GB"/>
              </w:rPr>
              <w:t>BDO’s</w:t>
            </w:r>
            <w:proofErr w:type="spellEnd"/>
            <w:r w:rsidRPr="00AB0C4E">
              <w:rPr>
                <w:sz w:val="18"/>
                <w:lang w:val="en-GB"/>
              </w:rPr>
              <w:t xml:space="preserve"> </w:t>
            </w:r>
            <w:hyperlink r:id="rId31" w:history="1">
              <w:proofErr w:type="spellStart"/>
              <w:r w:rsidRPr="00AB0C4E">
                <w:rPr>
                  <w:rStyle w:val="Hyperlink"/>
                  <w:sz w:val="18"/>
                  <w:lang w:val="en-GB"/>
                </w:rPr>
                <w:t>IFRB</w:t>
              </w:r>
              <w:proofErr w:type="spellEnd"/>
              <w:r w:rsidRPr="00AB0C4E">
                <w:rPr>
                  <w:rStyle w:val="Hyperlink"/>
                  <w:sz w:val="18"/>
                  <w:lang w:val="en-GB"/>
                </w:rPr>
                <w:t xml:space="preserve"> 2020/11 – Accounting for Rent Concessions: Lessee FAQs</w:t>
              </w:r>
            </w:hyperlink>
            <w:r w:rsidRPr="00AB0C4E">
              <w:rPr>
                <w:sz w:val="18"/>
                <w:lang w:val="en-GB"/>
              </w:rPr>
              <w:t xml:space="preserve">. </w:t>
            </w:r>
          </w:p>
        </w:tc>
        <w:tc>
          <w:tcPr>
            <w:tcW w:w="0" w:type="dxa"/>
          </w:tcPr>
          <w:p w14:paraId="46416582" w14:textId="1247ECFF" w:rsidR="00F67B73" w:rsidRPr="00AB0C4E" w:rsidRDefault="00AD245C" w:rsidP="00F67B73">
            <w:pPr>
              <w:jc w:val="center"/>
              <w:rPr>
                <w:sz w:val="18"/>
                <w:lang w:val="en-GB"/>
              </w:rPr>
            </w:pPr>
            <w:hyperlink w:anchor="B11" w:history="1">
              <w:r w:rsidR="00F67B73" w:rsidRPr="00AD245C">
                <w:rPr>
                  <w:rStyle w:val="Hyperlink"/>
                  <w:sz w:val="18"/>
                  <w:lang w:val="en-GB"/>
                </w:rPr>
                <w:t>B.11</w:t>
              </w:r>
            </w:hyperlink>
          </w:p>
        </w:tc>
      </w:tr>
    </w:tbl>
    <w:p w14:paraId="54F44376" w14:textId="0A3CFFCC" w:rsidR="00107FC2" w:rsidRPr="00AB0C4E" w:rsidRDefault="00107FC2" w:rsidP="006E22AC">
      <w:pPr>
        <w:rPr>
          <w:lang w:val="en-GB"/>
        </w:rPr>
      </w:pPr>
    </w:p>
    <w:p w14:paraId="612DE6C9" w14:textId="38FB9745" w:rsidR="00107FC2" w:rsidRPr="00AB0C4E" w:rsidRDefault="00107FC2" w:rsidP="006E22AC">
      <w:pPr>
        <w:rPr>
          <w:lang w:val="en-GB"/>
        </w:rPr>
      </w:pPr>
    </w:p>
    <w:p w14:paraId="4A449B30" w14:textId="290EA688" w:rsidR="00107FC2" w:rsidRPr="00AB0C4E" w:rsidRDefault="00107FC2" w:rsidP="006E22AC">
      <w:pPr>
        <w:rPr>
          <w:lang w:val="en-GB"/>
        </w:rPr>
      </w:pPr>
      <w:r w:rsidRPr="00AB0C4E">
        <w:rPr>
          <w:lang w:val="en-GB"/>
        </w:rPr>
        <w:br w:type="page"/>
      </w:r>
    </w:p>
    <w:p w14:paraId="45307F69" w14:textId="2F7841B9" w:rsidR="00107FC2" w:rsidRPr="00AB0C4E" w:rsidRDefault="00107FC2" w:rsidP="00107FC2">
      <w:pPr>
        <w:pStyle w:val="2kopBDO"/>
        <w:rPr>
          <w:lang w:val="en-GB"/>
        </w:rPr>
      </w:pPr>
      <w:bookmarkStart w:id="4" w:name="SectionB"/>
      <w:r w:rsidRPr="00AB0C4E">
        <w:rPr>
          <w:lang w:val="en-GB"/>
        </w:rPr>
        <w:lastRenderedPageBreak/>
        <w:t xml:space="preserve">SECTION B </w:t>
      </w:r>
      <w:bookmarkEnd w:id="4"/>
      <w:r w:rsidRPr="00AB0C4E">
        <w:rPr>
          <w:lang w:val="en-GB"/>
        </w:rPr>
        <w:t>– ILLUSTRATIVE DISCLOSURES</w:t>
      </w:r>
    </w:p>
    <w:p w14:paraId="32177504" w14:textId="7FC5810C" w:rsidR="00107FC2" w:rsidRPr="00AB0C4E" w:rsidRDefault="00812675" w:rsidP="006E22AC">
      <w:pPr>
        <w:rPr>
          <w:lang w:val="en-GB"/>
        </w:rPr>
      </w:pPr>
      <w:r w:rsidRPr="00AB0C4E">
        <w:rPr>
          <w:lang w:val="en-GB"/>
        </w:rPr>
        <w:t>Common fact pattern used in all illustrative disclosures:</w:t>
      </w:r>
    </w:p>
    <w:p w14:paraId="3B05C4B5" w14:textId="49CE90B6" w:rsidR="002F5175" w:rsidRPr="00AB0C4E" w:rsidRDefault="002F5175" w:rsidP="00287FE7">
      <w:pPr>
        <w:pStyle w:val="ListParagraph"/>
        <w:numPr>
          <w:ilvl w:val="0"/>
          <w:numId w:val="24"/>
        </w:numPr>
        <w:spacing w:after="0" w:line="240" w:lineRule="auto"/>
      </w:pPr>
      <w:r w:rsidRPr="00AB0C4E">
        <w:t>Z Layout</w:t>
      </w:r>
      <w:r w:rsidR="005C7A63" w:rsidRPr="00AB0C4E">
        <w:t xml:space="preserve"> Inc. (‘Z Layout’)</w:t>
      </w:r>
      <w:r w:rsidRPr="00AB0C4E">
        <w:t xml:space="preserve"> is preparing its annual financial statements for the year ended 31 December 2020 in accordance with IFRS as issued by the IASB. </w:t>
      </w:r>
      <w:r w:rsidR="005A2061" w:rsidRPr="00AB0C4E">
        <w:t>Z Layout prepares a classified statement of financial position (i.e. it differentiates between current and non-current assets/liabilities).</w:t>
      </w:r>
    </w:p>
    <w:p w14:paraId="56F4AFB5" w14:textId="149F7957" w:rsidR="00812675" w:rsidRPr="00AB0C4E" w:rsidRDefault="002F5175" w:rsidP="00287FE7">
      <w:pPr>
        <w:pStyle w:val="ListParagraph"/>
        <w:numPr>
          <w:ilvl w:val="0"/>
          <w:numId w:val="24"/>
        </w:numPr>
        <w:spacing w:after="0" w:line="240" w:lineRule="auto"/>
      </w:pPr>
      <w:r w:rsidRPr="00AB0C4E">
        <w:t>Z Layout is a distributor of gym equipment in Country X</w:t>
      </w:r>
      <w:r w:rsidR="00287FE7" w:rsidRPr="00AB0C4E">
        <w:t xml:space="preserve"> and has experienced significant reductions in sales and profitability during 2020 due to the effects of COVID-19. </w:t>
      </w:r>
    </w:p>
    <w:p w14:paraId="44FEC09E" w14:textId="37A9A4BD" w:rsidR="00287FE7" w:rsidRPr="00AB0C4E" w:rsidRDefault="00287FE7" w:rsidP="00287FE7">
      <w:pPr>
        <w:pStyle w:val="ListParagraph"/>
        <w:numPr>
          <w:ilvl w:val="0"/>
          <w:numId w:val="24"/>
        </w:numPr>
        <w:spacing w:after="0" w:line="240" w:lineRule="auto"/>
      </w:pPr>
      <w:r w:rsidRPr="00AB0C4E">
        <w:t>Many of Z Layout’s customers (e.g. gyms, fitness retailers, etc.) have closed or been forced to significantly reduce activities due to restrictions imposed by the government of Country X.</w:t>
      </w:r>
    </w:p>
    <w:p w14:paraId="0221C6BA" w14:textId="69FB36AF" w:rsidR="00287FE7" w:rsidRPr="00AB0C4E" w:rsidRDefault="00287FE7" w:rsidP="00287FE7">
      <w:pPr>
        <w:pStyle w:val="ListParagraph"/>
        <w:numPr>
          <w:ilvl w:val="0"/>
          <w:numId w:val="24"/>
        </w:numPr>
        <w:spacing w:after="0" w:line="240" w:lineRule="auto"/>
      </w:pPr>
      <w:r w:rsidRPr="00AB0C4E">
        <w:t>Some aspects of Z Layout’s business have improved, such as online sales and shipping directly to consumers</w:t>
      </w:r>
      <w:r w:rsidR="00BD7869" w:rsidRPr="00AB0C4E">
        <w:t>.</w:t>
      </w:r>
    </w:p>
    <w:p w14:paraId="7EA74E0C" w14:textId="26F78861" w:rsidR="00287FE7" w:rsidRPr="00AB0C4E" w:rsidRDefault="00287FE7" w:rsidP="00287FE7">
      <w:pPr>
        <w:pStyle w:val="ListParagraph"/>
        <w:numPr>
          <w:ilvl w:val="0"/>
          <w:numId w:val="24"/>
        </w:numPr>
        <w:spacing w:after="0" w:line="240" w:lineRule="auto"/>
      </w:pPr>
      <w:r w:rsidRPr="00AB0C4E">
        <w:t>Further information is provided in the</w:t>
      </w:r>
      <w:r w:rsidR="00922E41" w:rsidRPr="00AB0C4E">
        <w:t xml:space="preserve"> preface to each of the</w:t>
      </w:r>
      <w:r w:rsidRPr="00AB0C4E">
        <w:t xml:space="preserve"> following illustrative disclosures. </w:t>
      </w:r>
    </w:p>
    <w:p w14:paraId="0137BB6C" w14:textId="3680B315" w:rsidR="00E9725D" w:rsidRPr="00AB0C4E" w:rsidRDefault="00E9725D" w:rsidP="00287FE7">
      <w:pPr>
        <w:pStyle w:val="ListParagraph"/>
        <w:numPr>
          <w:ilvl w:val="0"/>
          <w:numId w:val="24"/>
        </w:numPr>
        <w:spacing w:after="0" w:line="240" w:lineRule="auto"/>
      </w:pPr>
      <w:r w:rsidRPr="00AB0C4E">
        <w:t xml:space="preserve">Unless otherwise noted, all figures presented are in Currency Units (‘CU’). </w:t>
      </w:r>
    </w:p>
    <w:p w14:paraId="1E49A81E" w14:textId="7966988F" w:rsidR="00922E41" w:rsidRPr="00AB0C4E" w:rsidRDefault="00922E41" w:rsidP="00287FE7">
      <w:pPr>
        <w:pStyle w:val="ListParagraph"/>
        <w:numPr>
          <w:ilvl w:val="0"/>
          <w:numId w:val="24"/>
        </w:numPr>
        <w:spacing w:after="0" w:line="240" w:lineRule="auto"/>
      </w:pPr>
      <w:r w:rsidRPr="00AB0C4E">
        <w:t xml:space="preserve">Many of the disclosures below illustrate the use of significant judgement in determining which information should be disclosed in order to satisfy the requirements of particular IFRS standards, as well as the overall objectives of IAS 1. In each case, management of Z Layout has determined that the information disclosed is material (quantitatively and/or qualitatively) as defined by IAS 8, and therefore, should be disclosed. Such disclosures may not be material for other entities based on their own particular fact patterns. </w:t>
      </w:r>
    </w:p>
    <w:p w14:paraId="169C93A6" w14:textId="399A8AF9" w:rsidR="00287FE7" w:rsidRPr="00AB0C4E" w:rsidRDefault="00287FE7" w:rsidP="00F67B73">
      <w:pPr>
        <w:pStyle w:val="ListParagraph"/>
        <w:numPr>
          <w:ilvl w:val="0"/>
          <w:numId w:val="24"/>
        </w:numPr>
        <w:spacing w:after="0" w:line="240" w:lineRule="auto"/>
      </w:pPr>
      <w:r w:rsidRPr="00AB0C4E">
        <w:t xml:space="preserve">Note that some disclosures are based on different underlying fact patterns (aside from the base information provided above), therefore, all illustrative examples will not </w:t>
      </w:r>
      <w:r w:rsidR="003538C0" w:rsidRPr="00AB0C4E">
        <w:t xml:space="preserve">be consistent with one another. </w:t>
      </w:r>
      <w:r w:rsidR="00F67B73">
        <w:br w:type="page"/>
      </w:r>
    </w:p>
    <w:p w14:paraId="6F9AE45C" w14:textId="6A0A79F0" w:rsidR="00EB5E97" w:rsidRPr="00AB0C4E" w:rsidRDefault="00EB5E97" w:rsidP="00EB5E97">
      <w:pPr>
        <w:spacing w:after="0" w:line="240" w:lineRule="auto"/>
        <w:rPr>
          <w:lang w:val="en-GB"/>
        </w:rPr>
      </w:pPr>
    </w:p>
    <w:p w14:paraId="2EF4DE88" w14:textId="2CAA9651" w:rsidR="00EB5E97" w:rsidRPr="00AB0C4E" w:rsidRDefault="00EB5E97" w:rsidP="00FC10A8">
      <w:pPr>
        <w:pStyle w:val="2kopBDO"/>
        <w:rPr>
          <w:lang w:val="en-GB"/>
        </w:rPr>
      </w:pPr>
      <w:bookmarkStart w:id="5" w:name="B1"/>
      <w:r w:rsidRPr="00AB0C4E">
        <w:rPr>
          <w:lang w:val="en-GB"/>
        </w:rPr>
        <w:t xml:space="preserve">B.1 </w:t>
      </w:r>
      <w:bookmarkEnd w:id="5"/>
      <w:r w:rsidRPr="00AB0C4E">
        <w:rPr>
          <w:lang w:val="en-GB"/>
        </w:rPr>
        <w:t>– Going Concern</w:t>
      </w:r>
      <w:r w:rsidR="007A0E8A" w:rsidRPr="00AB0C4E">
        <w:rPr>
          <w:lang w:val="en-GB"/>
        </w:rPr>
        <w:t xml:space="preserve"> UNCERTAINTY</w:t>
      </w:r>
    </w:p>
    <w:p w14:paraId="02428AD1" w14:textId="06DDB342" w:rsidR="003538C0" w:rsidRPr="00AB0C4E" w:rsidRDefault="003538C0" w:rsidP="003538C0">
      <w:pPr>
        <w:spacing w:after="0" w:line="240" w:lineRule="auto"/>
        <w:rPr>
          <w:lang w:val="en-GB"/>
        </w:rPr>
      </w:pPr>
    </w:p>
    <w:tbl>
      <w:tblPr>
        <w:tblStyle w:val="TableGrid"/>
        <w:tblW w:w="0" w:type="auto"/>
        <w:tblLook w:val="04A0" w:firstRow="1" w:lastRow="0" w:firstColumn="1" w:lastColumn="0" w:noHBand="0" w:noVBand="1"/>
      </w:tblPr>
      <w:tblGrid>
        <w:gridCol w:w="1413"/>
        <w:gridCol w:w="12580"/>
      </w:tblGrid>
      <w:tr w:rsidR="005C7A63" w:rsidRPr="00AB0C4E" w14:paraId="7BAAEBBD" w14:textId="77777777" w:rsidTr="00E9725D">
        <w:tc>
          <w:tcPr>
            <w:tcW w:w="13993" w:type="dxa"/>
            <w:gridSpan w:val="2"/>
            <w:shd w:val="clear" w:color="auto" w:fill="218F8B" w:themeFill="background2"/>
          </w:tcPr>
          <w:p w14:paraId="6ABDA3CF" w14:textId="3901FF24" w:rsidR="00BD7869" w:rsidRPr="00AB0C4E" w:rsidRDefault="00BD7869" w:rsidP="003538C0">
            <w:pPr>
              <w:rPr>
                <w:color w:val="FFFFFF" w:themeColor="background1"/>
                <w:lang w:val="en-GB"/>
              </w:rPr>
            </w:pPr>
            <w:r w:rsidRPr="00AB0C4E">
              <w:rPr>
                <w:color w:val="FFFFFF" w:themeColor="background1"/>
                <w:lang w:val="en-GB"/>
              </w:rPr>
              <w:t xml:space="preserve">B.1(a) – Going concern disclosure when no material uncertainty exists </w:t>
            </w:r>
          </w:p>
          <w:p w14:paraId="6E733FD7" w14:textId="77777777" w:rsidR="00BD7869" w:rsidRPr="00AB0C4E" w:rsidRDefault="00BD7869" w:rsidP="003538C0">
            <w:pPr>
              <w:rPr>
                <w:color w:val="FFFFFF" w:themeColor="background1"/>
                <w:lang w:val="en-GB"/>
              </w:rPr>
            </w:pPr>
          </w:p>
          <w:p w14:paraId="5C6722B2" w14:textId="569F5EDF" w:rsidR="005C7A63" w:rsidRPr="00AB0C4E" w:rsidRDefault="005C7A63" w:rsidP="003538C0">
            <w:pPr>
              <w:rPr>
                <w:color w:val="FFFFFF" w:themeColor="background1"/>
                <w:lang w:val="en-GB"/>
              </w:rPr>
            </w:pPr>
            <w:r w:rsidRPr="00AB0C4E">
              <w:rPr>
                <w:color w:val="FFFFFF" w:themeColor="background1"/>
                <w:lang w:val="en-GB"/>
              </w:rPr>
              <w:t>Additional information:</w:t>
            </w:r>
            <w:r w:rsidR="00134D4C" w:rsidRPr="00AB0C4E">
              <w:rPr>
                <w:color w:val="FFFFFF" w:themeColor="background1"/>
                <w:lang w:val="en-GB"/>
              </w:rPr>
              <w:t xml:space="preserve"> Z Layout’s increase in online sales have been so significant that there is virtually no doubt that it will be able to continue as a going concern for the next 12 months. </w:t>
            </w:r>
          </w:p>
        </w:tc>
      </w:tr>
      <w:tr w:rsidR="005C7A63" w:rsidRPr="00AB0C4E" w14:paraId="44D285DE" w14:textId="77777777" w:rsidTr="005C7A63">
        <w:tc>
          <w:tcPr>
            <w:tcW w:w="1413" w:type="dxa"/>
            <w:shd w:val="clear" w:color="auto" w:fill="657C91" w:themeFill="accent4"/>
          </w:tcPr>
          <w:p w14:paraId="1B2B1F6A" w14:textId="38AC9F14" w:rsidR="005C7A63" w:rsidRPr="00AB0C4E" w:rsidRDefault="005C7A63" w:rsidP="00D72105">
            <w:pPr>
              <w:jc w:val="right"/>
              <w:rPr>
                <w:color w:val="FFFFFF" w:themeColor="background1"/>
                <w:lang w:val="en-GB"/>
              </w:rPr>
            </w:pPr>
            <w:r w:rsidRPr="00AB0C4E">
              <w:rPr>
                <w:color w:val="FFFFFF" w:themeColor="background1"/>
                <w:lang w:val="en-GB"/>
              </w:rPr>
              <w:t>Reference</w:t>
            </w:r>
            <w:r w:rsidR="00134D4C" w:rsidRPr="00AB0C4E">
              <w:rPr>
                <w:color w:val="FFFFFF" w:themeColor="background1"/>
                <w:lang w:val="en-GB"/>
              </w:rPr>
              <w:t>(s)</w:t>
            </w:r>
          </w:p>
        </w:tc>
        <w:tc>
          <w:tcPr>
            <w:tcW w:w="12580" w:type="dxa"/>
            <w:shd w:val="clear" w:color="auto" w:fill="657C91" w:themeFill="accent4"/>
          </w:tcPr>
          <w:p w14:paraId="6F8462E3" w14:textId="20FF35A0" w:rsidR="005C7A63" w:rsidRPr="00AB0C4E" w:rsidRDefault="005C7A63" w:rsidP="003538C0">
            <w:pPr>
              <w:rPr>
                <w:color w:val="FFFFFF" w:themeColor="background1"/>
                <w:lang w:val="en-GB"/>
              </w:rPr>
            </w:pPr>
            <w:r w:rsidRPr="00AB0C4E">
              <w:rPr>
                <w:color w:val="FFFFFF" w:themeColor="background1"/>
                <w:lang w:val="en-GB"/>
              </w:rPr>
              <w:t xml:space="preserve">Illustrative disclosure </w:t>
            </w:r>
          </w:p>
        </w:tc>
      </w:tr>
      <w:tr w:rsidR="005C7A63" w:rsidRPr="00AB0C4E" w14:paraId="418539D3" w14:textId="77777777" w:rsidTr="005C7A63">
        <w:tc>
          <w:tcPr>
            <w:tcW w:w="1413" w:type="dxa"/>
            <w:shd w:val="clear" w:color="auto" w:fill="FFFFFF" w:themeFill="background1"/>
          </w:tcPr>
          <w:p w14:paraId="002BB94F" w14:textId="69D88242" w:rsidR="005C7A63" w:rsidRPr="00AB0C4E" w:rsidRDefault="00134D4C" w:rsidP="003538C0">
            <w:pPr>
              <w:rPr>
                <w:lang w:val="en-GB"/>
              </w:rPr>
            </w:pPr>
            <w:r w:rsidRPr="00AB0C4E">
              <w:rPr>
                <w:lang w:val="en-GB"/>
              </w:rPr>
              <w:t>N/A</w:t>
            </w:r>
          </w:p>
        </w:tc>
        <w:tc>
          <w:tcPr>
            <w:tcW w:w="12580" w:type="dxa"/>
            <w:shd w:val="clear" w:color="auto" w:fill="FFFFFF" w:themeFill="background1"/>
          </w:tcPr>
          <w:p w14:paraId="01E17655" w14:textId="7972F1E2" w:rsidR="005C7A63" w:rsidRPr="00AB0C4E" w:rsidRDefault="00286533" w:rsidP="003538C0">
            <w:pPr>
              <w:rPr>
                <w:lang w:val="en-GB"/>
              </w:rPr>
            </w:pPr>
            <w:r w:rsidRPr="00AB0C4E">
              <w:rPr>
                <w:lang w:val="en-GB"/>
              </w:rPr>
              <w:t xml:space="preserve">None. </w:t>
            </w:r>
          </w:p>
        </w:tc>
      </w:tr>
      <w:tr w:rsidR="006111BD" w:rsidRPr="00AB0C4E" w14:paraId="37594080" w14:textId="77777777" w:rsidTr="005C7A63">
        <w:tc>
          <w:tcPr>
            <w:tcW w:w="1413" w:type="dxa"/>
            <w:shd w:val="clear" w:color="auto" w:fill="FFFFFF" w:themeFill="background1"/>
          </w:tcPr>
          <w:p w14:paraId="6E4A17AE" w14:textId="77777777" w:rsidR="006111BD" w:rsidRPr="00AB0C4E" w:rsidRDefault="006111BD" w:rsidP="003538C0">
            <w:pPr>
              <w:rPr>
                <w:lang w:val="en-GB"/>
              </w:rPr>
            </w:pPr>
          </w:p>
        </w:tc>
        <w:tc>
          <w:tcPr>
            <w:tcW w:w="12580" w:type="dxa"/>
            <w:shd w:val="clear" w:color="auto" w:fill="FFFFFF" w:themeFill="background1"/>
          </w:tcPr>
          <w:p w14:paraId="2B7B6187" w14:textId="49B66A08" w:rsidR="006111BD" w:rsidRPr="00AB0C4E" w:rsidRDefault="006111BD" w:rsidP="003538C0">
            <w:pPr>
              <w:rPr>
                <w:lang w:val="en-GB"/>
              </w:rPr>
            </w:pPr>
            <w:r w:rsidRPr="00AB0C4E">
              <w:rPr>
                <w:i/>
                <w:iCs/>
                <w:lang w:val="en-GB"/>
              </w:rPr>
              <w:t>Analysis: As no material uncertainties exist related to events or conditions that may cast significant doubt upon Z Layout’s ability to continue as a going concern, no disclosures are required.</w:t>
            </w:r>
          </w:p>
        </w:tc>
      </w:tr>
    </w:tbl>
    <w:p w14:paraId="57E08153" w14:textId="5ACE39B9" w:rsidR="00AB0097" w:rsidRDefault="00AB0097" w:rsidP="003538C0">
      <w:pPr>
        <w:spacing w:after="0" w:line="240" w:lineRule="auto"/>
        <w:rPr>
          <w:lang w:val="en-GB"/>
        </w:rPr>
      </w:pPr>
    </w:p>
    <w:p w14:paraId="34894F9D" w14:textId="12C018F9" w:rsidR="00AB0097" w:rsidRDefault="00AB0097" w:rsidP="003538C0">
      <w:pPr>
        <w:spacing w:after="0" w:line="240" w:lineRule="auto"/>
        <w:rPr>
          <w:lang w:val="en-GB"/>
        </w:rPr>
      </w:pPr>
    </w:p>
    <w:p w14:paraId="6E8AC140" w14:textId="77777777" w:rsidR="00AB0097" w:rsidRPr="00AB0C4E" w:rsidRDefault="00AB0097" w:rsidP="003538C0">
      <w:pPr>
        <w:spacing w:after="0" w:line="240" w:lineRule="auto"/>
        <w:rPr>
          <w:lang w:val="en-GB"/>
        </w:rPr>
      </w:pPr>
    </w:p>
    <w:tbl>
      <w:tblPr>
        <w:tblStyle w:val="TableGrid"/>
        <w:tblW w:w="0" w:type="auto"/>
        <w:tblLook w:val="04A0" w:firstRow="1" w:lastRow="0" w:firstColumn="1" w:lastColumn="0" w:noHBand="0" w:noVBand="1"/>
      </w:tblPr>
      <w:tblGrid>
        <w:gridCol w:w="1413"/>
        <w:gridCol w:w="12580"/>
      </w:tblGrid>
      <w:tr w:rsidR="005911D1" w:rsidRPr="00AB0C4E" w14:paraId="122C0516" w14:textId="77777777" w:rsidTr="00E9725D">
        <w:tc>
          <w:tcPr>
            <w:tcW w:w="13993" w:type="dxa"/>
            <w:gridSpan w:val="2"/>
            <w:shd w:val="clear" w:color="auto" w:fill="218F8B" w:themeFill="background2"/>
          </w:tcPr>
          <w:p w14:paraId="3C17CCD0" w14:textId="3508F87E" w:rsidR="005911D1" w:rsidRPr="00AB0C4E" w:rsidRDefault="005911D1" w:rsidP="00E9725D">
            <w:pPr>
              <w:rPr>
                <w:color w:val="FFFFFF" w:themeColor="background1"/>
                <w:lang w:val="en-GB"/>
              </w:rPr>
            </w:pPr>
            <w:r w:rsidRPr="00AB0C4E">
              <w:rPr>
                <w:color w:val="FFFFFF" w:themeColor="background1"/>
                <w:lang w:val="en-GB"/>
              </w:rPr>
              <w:t xml:space="preserve">B.1(b) – Going concern disclosure when uncertainty exists, but not material uncertainty  </w:t>
            </w:r>
          </w:p>
          <w:p w14:paraId="781924B2" w14:textId="77777777" w:rsidR="005911D1" w:rsidRPr="00AB0C4E" w:rsidRDefault="005911D1" w:rsidP="00E9725D">
            <w:pPr>
              <w:rPr>
                <w:color w:val="FFFFFF" w:themeColor="background1"/>
                <w:lang w:val="en-GB"/>
              </w:rPr>
            </w:pPr>
          </w:p>
          <w:p w14:paraId="77A1B865" w14:textId="04773C44" w:rsidR="005911D1" w:rsidRPr="00AB0C4E" w:rsidRDefault="005911D1" w:rsidP="00E9725D">
            <w:pPr>
              <w:rPr>
                <w:color w:val="FFFFFF" w:themeColor="background1"/>
                <w:lang w:val="en-GB"/>
              </w:rPr>
            </w:pPr>
            <w:r w:rsidRPr="00AB0C4E">
              <w:rPr>
                <w:color w:val="FFFFFF" w:themeColor="background1"/>
                <w:lang w:val="en-GB"/>
              </w:rPr>
              <w:t>Additional information:</w:t>
            </w:r>
            <w:r w:rsidR="00EB5E97" w:rsidRPr="00AB0C4E">
              <w:rPr>
                <w:color w:val="FFFFFF" w:themeColor="background1"/>
                <w:lang w:val="en-GB"/>
              </w:rPr>
              <w:t xml:space="preserve"> Z Layout’s increase in online sales has been significant, however, cash balances have continued to decrease due to an inability to mitigate many operating costs (e.g. rent, salaried employees, etc.). Z Layout has obtained loan commitments from several banks, therefore, it is unlikely that it will be unable to continue as a going concern for the next 12 months, however, </w:t>
            </w:r>
            <w:r w:rsidR="001E6BF1" w:rsidRPr="00AB0C4E">
              <w:rPr>
                <w:color w:val="FFFFFF" w:themeColor="background1"/>
                <w:lang w:val="en-GB"/>
              </w:rPr>
              <w:t xml:space="preserve">some uncertainty exists relating to consumer’s sentiment for the new product lines offered by Z Layout. </w:t>
            </w:r>
          </w:p>
        </w:tc>
      </w:tr>
      <w:tr w:rsidR="005911D1" w:rsidRPr="00AB0C4E" w14:paraId="429C0F8A" w14:textId="77777777" w:rsidTr="00E9725D">
        <w:tc>
          <w:tcPr>
            <w:tcW w:w="1413" w:type="dxa"/>
            <w:shd w:val="clear" w:color="auto" w:fill="657C91" w:themeFill="accent4"/>
          </w:tcPr>
          <w:p w14:paraId="3DCBE35A" w14:textId="27CBDE84" w:rsidR="005911D1" w:rsidRPr="00AB0C4E" w:rsidRDefault="00134D4C" w:rsidP="00D72105">
            <w:pPr>
              <w:jc w:val="right"/>
              <w:rPr>
                <w:color w:val="FFFFFF" w:themeColor="background1"/>
                <w:lang w:val="en-GB"/>
              </w:rPr>
            </w:pPr>
            <w:r w:rsidRPr="00AB0C4E">
              <w:rPr>
                <w:color w:val="FFFFFF" w:themeColor="background1"/>
                <w:lang w:val="en-GB"/>
              </w:rPr>
              <w:t>Reference(s)</w:t>
            </w:r>
          </w:p>
        </w:tc>
        <w:tc>
          <w:tcPr>
            <w:tcW w:w="12580" w:type="dxa"/>
            <w:shd w:val="clear" w:color="auto" w:fill="657C91" w:themeFill="accent4"/>
          </w:tcPr>
          <w:p w14:paraId="51DDBCAD" w14:textId="77777777" w:rsidR="005911D1" w:rsidRPr="00AB0C4E" w:rsidRDefault="005911D1" w:rsidP="00E9725D">
            <w:pPr>
              <w:rPr>
                <w:color w:val="FFFFFF" w:themeColor="background1"/>
                <w:lang w:val="en-GB"/>
              </w:rPr>
            </w:pPr>
            <w:r w:rsidRPr="00AB0C4E">
              <w:rPr>
                <w:color w:val="FFFFFF" w:themeColor="background1"/>
                <w:lang w:val="en-GB"/>
              </w:rPr>
              <w:t xml:space="preserve">Illustrative disclosure </w:t>
            </w:r>
          </w:p>
        </w:tc>
      </w:tr>
      <w:tr w:rsidR="005911D1" w:rsidRPr="00AB0C4E" w14:paraId="2E5DF099" w14:textId="77777777" w:rsidTr="00E9725D">
        <w:tc>
          <w:tcPr>
            <w:tcW w:w="1413" w:type="dxa"/>
            <w:shd w:val="clear" w:color="auto" w:fill="FFFFFF" w:themeFill="background1"/>
          </w:tcPr>
          <w:p w14:paraId="1EE500D6" w14:textId="77777777" w:rsidR="00F26442" w:rsidRPr="00AB0C4E" w:rsidRDefault="00F26442" w:rsidP="00E9725D">
            <w:pPr>
              <w:rPr>
                <w:lang w:val="en-GB"/>
              </w:rPr>
            </w:pPr>
          </w:p>
          <w:p w14:paraId="751B67B7" w14:textId="77777777" w:rsidR="00F26442" w:rsidRPr="00AB0C4E" w:rsidRDefault="00F26442" w:rsidP="00E9725D">
            <w:pPr>
              <w:rPr>
                <w:lang w:val="en-GB"/>
              </w:rPr>
            </w:pPr>
          </w:p>
          <w:p w14:paraId="780D010A" w14:textId="525DD75A" w:rsidR="005911D1" w:rsidRPr="00AB0C4E" w:rsidRDefault="001E6BF1" w:rsidP="00E9725D">
            <w:pPr>
              <w:rPr>
                <w:lang w:val="en-GB"/>
              </w:rPr>
            </w:pPr>
            <w:r w:rsidRPr="00AB0C4E">
              <w:rPr>
                <w:lang w:val="en-GB"/>
              </w:rPr>
              <w:t>IAS 1.</w:t>
            </w:r>
            <w:r w:rsidR="00AC528E" w:rsidRPr="00AB0C4E">
              <w:rPr>
                <w:lang w:val="en-GB"/>
              </w:rPr>
              <w:t>122</w:t>
            </w:r>
          </w:p>
        </w:tc>
        <w:tc>
          <w:tcPr>
            <w:tcW w:w="12580" w:type="dxa"/>
            <w:shd w:val="clear" w:color="auto" w:fill="FFFFFF" w:themeFill="background1"/>
          </w:tcPr>
          <w:p w14:paraId="06F82C8B" w14:textId="1F488361" w:rsidR="005911D1" w:rsidRPr="00AB0C4E" w:rsidRDefault="00FB5B51" w:rsidP="00E9725D">
            <w:pPr>
              <w:rPr>
                <w:u w:val="single"/>
                <w:lang w:val="en-GB"/>
              </w:rPr>
            </w:pPr>
            <w:r w:rsidRPr="00AB0C4E">
              <w:rPr>
                <w:u w:val="single"/>
                <w:lang w:val="en-GB"/>
              </w:rPr>
              <w:t>Implications of COVID-19</w:t>
            </w:r>
          </w:p>
          <w:p w14:paraId="77EB802A" w14:textId="77777777" w:rsidR="00AC528E" w:rsidRPr="00AB0C4E" w:rsidRDefault="00AC528E" w:rsidP="00E9725D">
            <w:pPr>
              <w:rPr>
                <w:lang w:val="en-GB"/>
              </w:rPr>
            </w:pPr>
          </w:p>
          <w:p w14:paraId="25EDC9A8" w14:textId="0CAF4C7F" w:rsidR="00AC528E" w:rsidRPr="00AB0C4E" w:rsidRDefault="00F26442" w:rsidP="00E9725D">
            <w:pPr>
              <w:rPr>
                <w:lang w:val="en-GB"/>
              </w:rPr>
            </w:pPr>
            <w:r w:rsidRPr="00AB0C4E">
              <w:rPr>
                <w:lang w:val="en-GB"/>
              </w:rPr>
              <w:t>The effects of COVID-19 have resulted in decreased demand for the Company’s goods</w:t>
            </w:r>
            <w:r w:rsidR="00BC5AEA" w:rsidRPr="00AB0C4E">
              <w:rPr>
                <w:lang w:val="en-GB"/>
              </w:rPr>
              <w:t xml:space="preserve"> due to government-imposed closures of </w:t>
            </w:r>
            <w:r w:rsidR="007C4E37">
              <w:rPr>
                <w:lang w:val="en-GB"/>
              </w:rPr>
              <w:t xml:space="preserve">its </w:t>
            </w:r>
            <w:r w:rsidR="00BC5AEA" w:rsidRPr="00AB0C4E">
              <w:rPr>
                <w:lang w:val="en-GB"/>
              </w:rPr>
              <w:t xml:space="preserve">main clients, including gyms and recreation centres. </w:t>
            </w:r>
            <w:r w:rsidRPr="00AB0C4E">
              <w:rPr>
                <w:lang w:val="en-GB"/>
              </w:rPr>
              <w:t xml:space="preserve">The Company has experienced decreases </w:t>
            </w:r>
            <w:r w:rsidR="00985030" w:rsidRPr="00AB0C4E">
              <w:rPr>
                <w:lang w:val="en-GB"/>
              </w:rPr>
              <w:t xml:space="preserve">in overall sales, however, this has been mitigated by increased online sales and shifting the Company’s focus to direct to consumer business. As disclosed in note X, </w:t>
            </w:r>
            <w:r w:rsidR="00E9725D" w:rsidRPr="00AB0C4E">
              <w:rPr>
                <w:lang w:val="en-GB"/>
              </w:rPr>
              <w:t xml:space="preserve">the Company’s term balance loan of CU5,000,000 is due to be repaid on 30 September 2021, however, the Company has obtained firm commitments from three financial institutions, which will enable the Company to refinance the obligation for a further 4 years. </w:t>
            </w:r>
          </w:p>
        </w:tc>
      </w:tr>
      <w:tr w:rsidR="006111BD" w:rsidRPr="00AB0C4E" w14:paraId="6A12A553" w14:textId="77777777" w:rsidTr="00E9725D">
        <w:tc>
          <w:tcPr>
            <w:tcW w:w="1413" w:type="dxa"/>
            <w:shd w:val="clear" w:color="auto" w:fill="FFFFFF" w:themeFill="background1"/>
          </w:tcPr>
          <w:p w14:paraId="0857C49D" w14:textId="77777777" w:rsidR="006111BD" w:rsidRPr="00AB0C4E" w:rsidRDefault="006111BD" w:rsidP="00E9725D">
            <w:pPr>
              <w:rPr>
                <w:lang w:val="en-GB"/>
              </w:rPr>
            </w:pPr>
          </w:p>
        </w:tc>
        <w:tc>
          <w:tcPr>
            <w:tcW w:w="12580" w:type="dxa"/>
            <w:shd w:val="clear" w:color="auto" w:fill="FFFFFF" w:themeFill="background1"/>
          </w:tcPr>
          <w:p w14:paraId="2A1E5E41" w14:textId="3AC5E878" w:rsidR="006111BD" w:rsidRPr="00AB0C4E" w:rsidRDefault="00001065" w:rsidP="00E9725D">
            <w:pPr>
              <w:rPr>
                <w:lang w:val="en-GB"/>
              </w:rPr>
            </w:pPr>
            <w:r w:rsidRPr="00AB0C4E">
              <w:rPr>
                <w:i/>
                <w:iCs/>
                <w:lang w:val="en-GB"/>
              </w:rPr>
              <w:t>Analysis:</w:t>
            </w:r>
            <w:r w:rsidR="00AC528E" w:rsidRPr="00AB0C4E">
              <w:rPr>
                <w:i/>
                <w:iCs/>
                <w:lang w:val="en-GB"/>
              </w:rPr>
              <w:t xml:space="preserve"> the uncertainty relating to going concern is not a material uncertainty, therefore, the disclosures in IAS 1.25 are not required. The uncertainties relating to the assessment of going concern are a significant judgement, which must be disclosed (IAS 1.122). </w:t>
            </w:r>
            <w:r w:rsidR="00FB5B51" w:rsidRPr="00AB0C4E">
              <w:rPr>
                <w:i/>
                <w:iCs/>
                <w:lang w:val="en-GB"/>
              </w:rPr>
              <w:t xml:space="preserve">In our view, such disclosures would generally be less detailed than those required by IAS 1.25 and may be presented with less prominence than disclosures of material uncertainty relating to the going concern assumption. </w:t>
            </w:r>
          </w:p>
        </w:tc>
      </w:tr>
    </w:tbl>
    <w:p w14:paraId="5D6023DC" w14:textId="5767FD3C" w:rsidR="00F67B73" w:rsidRDefault="00F67B73" w:rsidP="00287FE7">
      <w:pPr>
        <w:spacing w:after="0" w:line="240" w:lineRule="auto"/>
        <w:rPr>
          <w:lang w:val="en-GB"/>
        </w:rPr>
      </w:pPr>
      <w:r>
        <w:rPr>
          <w:lang w:val="en-GB"/>
        </w:rPr>
        <w:br w:type="page"/>
      </w:r>
    </w:p>
    <w:p w14:paraId="2E3C53E6" w14:textId="59AC9FD4" w:rsidR="00F67B73" w:rsidRPr="00AB0C4E" w:rsidRDefault="00F67B73" w:rsidP="00F67B73">
      <w:pPr>
        <w:pStyle w:val="2kopBDO"/>
        <w:rPr>
          <w:lang w:val="en-GB"/>
        </w:rPr>
      </w:pPr>
      <w:r w:rsidRPr="00AB0C4E">
        <w:rPr>
          <w:lang w:val="en-GB"/>
        </w:rPr>
        <w:lastRenderedPageBreak/>
        <w:t>B.1 – Going Concern UNCERTAINTY</w:t>
      </w:r>
      <w:r>
        <w:rPr>
          <w:lang w:val="en-GB"/>
        </w:rPr>
        <w:t xml:space="preserve"> (continued)</w:t>
      </w:r>
    </w:p>
    <w:p w14:paraId="4B6ACC06" w14:textId="77777777" w:rsidR="00F67B73" w:rsidRDefault="00F67B73" w:rsidP="00287FE7">
      <w:pPr>
        <w:spacing w:after="0" w:line="240" w:lineRule="auto"/>
        <w:rPr>
          <w:lang w:val="en-GB"/>
        </w:rPr>
      </w:pPr>
    </w:p>
    <w:tbl>
      <w:tblPr>
        <w:tblStyle w:val="TableGrid"/>
        <w:tblW w:w="13993" w:type="dxa"/>
        <w:tblLook w:val="04A0" w:firstRow="1" w:lastRow="0" w:firstColumn="1" w:lastColumn="0" w:noHBand="0" w:noVBand="1"/>
      </w:tblPr>
      <w:tblGrid>
        <w:gridCol w:w="1469"/>
        <w:gridCol w:w="12524"/>
      </w:tblGrid>
      <w:tr w:rsidR="005911D1" w:rsidRPr="00AB0C4E" w14:paraId="7A0128CC" w14:textId="77777777" w:rsidTr="006111BD">
        <w:tc>
          <w:tcPr>
            <w:tcW w:w="13993" w:type="dxa"/>
            <w:gridSpan w:val="2"/>
            <w:shd w:val="clear" w:color="auto" w:fill="218F8B" w:themeFill="background2"/>
          </w:tcPr>
          <w:p w14:paraId="4394A526" w14:textId="7F1E6D67" w:rsidR="005911D1" w:rsidRPr="00AB0C4E" w:rsidRDefault="005911D1" w:rsidP="00E9725D">
            <w:pPr>
              <w:rPr>
                <w:color w:val="FFFFFF" w:themeColor="background1"/>
                <w:lang w:val="en-GB"/>
              </w:rPr>
            </w:pPr>
            <w:r w:rsidRPr="00AB0C4E">
              <w:rPr>
                <w:color w:val="FFFFFF" w:themeColor="background1"/>
                <w:lang w:val="en-GB"/>
              </w:rPr>
              <w:t xml:space="preserve">B.1(c) – Going concern disclosure when materiality uncertainty exists </w:t>
            </w:r>
          </w:p>
          <w:p w14:paraId="38907E71" w14:textId="77777777" w:rsidR="005911D1" w:rsidRPr="00AB0C4E" w:rsidRDefault="005911D1" w:rsidP="00E9725D">
            <w:pPr>
              <w:rPr>
                <w:color w:val="FFFFFF" w:themeColor="background1"/>
                <w:lang w:val="en-GB"/>
              </w:rPr>
            </w:pPr>
          </w:p>
          <w:p w14:paraId="1A4F9483" w14:textId="0C20B0E8" w:rsidR="005911D1" w:rsidRPr="00AB0C4E" w:rsidRDefault="005911D1" w:rsidP="00E9725D">
            <w:pPr>
              <w:rPr>
                <w:color w:val="FFFFFF" w:themeColor="background1"/>
                <w:lang w:val="en-GB"/>
              </w:rPr>
            </w:pPr>
            <w:r w:rsidRPr="00AB0C4E">
              <w:rPr>
                <w:color w:val="FFFFFF" w:themeColor="background1"/>
                <w:lang w:val="en-GB"/>
              </w:rPr>
              <w:t>Additional information:</w:t>
            </w:r>
            <w:r w:rsidR="00E9725D" w:rsidRPr="00AB0C4E">
              <w:rPr>
                <w:color w:val="FFFFFF" w:themeColor="background1"/>
                <w:lang w:val="en-GB"/>
              </w:rPr>
              <w:t xml:space="preserve"> Z Layout’s increase in online sales has not been significant and cash balances have decreased substantially in the past 12 months. Management has assessed that the development of appropriate vaccines must occur promptly with cash flows returning to pre-COVID-19 levels by 30 June 2021 in order for </w:t>
            </w:r>
            <w:r w:rsidR="00BA0C4F" w:rsidRPr="00AB0C4E">
              <w:rPr>
                <w:color w:val="FFFFFF" w:themeColor="background1"/>
                <w:lang w:val="en-GB"/>
              </w:rPr>
              <w:t xml:space="preserve">Z Layout to be able to refinance its term loan coming due on 30 September 2021. Management has entered into discussions with other lenders to refinance the obligation on a long-term basis, however, no firm commitments have been obtained. </w:t>
            </w:r>
            <w:r w:rsidR="00D3275A" w:rsidRPr="00AB0C4E">
              <w:rPr>
                <w:color w:val="FFFFFF" w:themeColor="background1"/>
                <w:lang w:val="en-GB"/>
              </w:rPr>
              <w:t xml:space="preserve">The Company is in compliance with its bank covenants as at 31 December 2020, however, it does not expect to be by 30 June 2020, the next point at which the test is performed. If the test </w:t>
            </w:r>
            <w:r w:rsidR="007C4E37">
              <w:rPr>
                <w:color w:val="FFFFFF" w:themeColor="background1"/>
                <w:lang w:val="en-GB"/>
              </w:rPr>
              <w:t xml:space="preserve">is </w:t>
            </w:r>
            <w:r w:rsidR="00D3275A" w:rsidRPr="00AB0C4E">
              <w:rPr>
                <w:color w:val="FFFFFF" w:themeColor="background1"/>
                <w:lang w:val="en-GB"/>
              </w:rPr>
              <w:t>fail</w:t>
            </w:r>
            <w:r w:rsidR="007C4E37">
              <w:rPr>
                <w:color w:val="FFFFFF" w:themeColor="background1"/>
                <w:lang w:val="en-GB"/>
              </w:rPr>
              <w:t>ed</w:t>
            </w:r>
            <w:r w:rsidR="00D3275A" w:rsidRPr="00AB0C4E">
              <w:rPr>
                <w:color w:val="FFFFFF" w:themeColor="background1"/>
                <w:lang w:val="en-GB"/>
              </w:rPr>
              <w:t xml:space="preserve">, the lender has the right to demand immediate repayment. </w:t>
            </w:r>
          </w:p>
        </w:tc>
      </w:tr>
      <w:tr w:rsidR="005911D1" w:rsidRPr="00AB0C4E" w14:paraId="3D64CB83" w14:textId="77777777" w:rsidTr="006111BD">
        <w:tc>
          <w:tcPr>
            <w:tcW w:w="1469" w:type="dxa"/>
            <w:shd w:val="clear" w:color="auto" w:fill="657C91" w:themeFill="accent4"/>
          </w:tcPr>
          <w:p w14:paraId="198717B1" w14:textId="43E34026" w:rsidR="005911D1" w:rsidRPr="00AB0C4E" w:rsidRDefault="00134D4C" w:rsidP="00D72105">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6EA4A542" w14:textId="77777777" w:rsidR="005911D1" w:rsidRPr="00AB0C4E" w:rsidRDefault="005911D1" w:rsidP="00E9725D">
            <w:pPr>
              <w:rPr>
                <w:color w:val="FFFFFF" w:themeColor="background1"/>
                <w:lang w:val="en-GB"/>
              </w:rPr>
            </w:pPr>
            <w:r w:rsidRPr="00AB0C4E">
              <w:rPr>
                <w:color w:val="FFFFFF" w:themeColor="background1"/>
                <w:lang w:val="en-GB"/>
              </w:rPr>
              <w:t xml:space="preserve">Illustrative disclosure </w:t>
            </w:r>
          </w:p>
        </w:tc>
      </w:tr>
      <w:tr w:rsidR="005911D1" w:rsidRPr="00AB0C4E" w14:paraId="5FB3BF1F" w14:textId="77777777" w:rsidTr="006111BD">
        <w:tc>
          <w:tcPr>
            <w:tcW w:w="1469" w:type="dxa"/>
            <w:shd w:val="clear" w:color="auto" w:fill="FFFFFF" w:themeFill="background1"/>
          </w:tcPr>
          <w:p w14:paraId="48D5FD87" w14:textId="77777777" w:rsidR="005911D1" w:rsidRPr="00AB0C4E" w:rsidRDefault="005911D1" w:rsidP="00E9725D">
            <w:pPr>
              <w:rPr>
                <w:lang w:val="en-GB"/>
              </w:rPr>
            </w:pPr>
          </w:p>
          <w:p w14:paraId="4EB2705E" w14:textId="77777777" w:rsidR="00BA0C4F" w:rsidRPr="00AB0C4E" w:rsidRDefault="00BA0C4F" w:rsidP="00E9725D">
            <w:pPr>
              <w:rPr>
                <w:lang w:val="en-GB"/>
              </w:rPr>
            </w:pPr>
          </w:p>
          <w:p w14:paraId="5EE04837" w14:textId="449C66EE" w:rsidR="00BA0C4F" w:rsidRPr="00AB0C4E" w:rsidRDefault="00BA0C4F" w:rsidP="00D72105">
            <w:pPr>
              <w:jc w:val="right"/>
              <w:rPr>
                <w:lang w:val="en-GB"/>
              </w:rPr>
            </w:pPr>
            <w:r w:rsidRPr="00AB0C4E">
              <w:rPr>
                <w:lang w:val="en-GB"/>
              </w:rPr>
              <w:t>IAS 1.25</w:t>
            </w:r>
          </w:p>
        </w:tc>
        <w:tc>
          <w:tcPr>
            <w:tcW w:w="12524" w:type="dxa"/>
            <w:shd w:val="clear" w:color="auto" w:fill="FFFFFF" w:themeFill="background1"/>
          </w:tcPr>
          <w:p w14:paraId="67B9EEB0" w14:textId="159F7C15" w:rsidR="005911D1" w:rsidRPr="00AB0C4E" w:rsidRDefault="00AC528E" w:rsidP="00E9725D">
            <w:pPr>
              <w:rPr>
                <w:u w:val="single"/>
                <w:lang w:val="en-GB"/>
              </w:rPr>
            </w:pPr>
            <w:r w:rsidRPr="00AB0C4E">
              <w:rPr>
                <w:u w:val="single"/>
                <w:lang w:val="en-GB"/>
              </w:rPr>
              <w:t xml:space="preserve">The Company’s ability to continue as a going concern – COVID-19 and material uncertainty </w:t>
            </w:r>
          </w:p>
          <w:p w14:paraId="1524795A" w14:textId="77777777" w:rsidR="00AC528E" w:rsidRPr="00AB0C4E" w:rsidRDefault="00AC528E" w:rsidP="00E9725D">
            <w:pPr>
              <w:rPr>
                <w:lang w:val="en-GB"/>
              </w:rPr>
            </w:pPr>
          </w:p>
          <w:p w14:paraId="1C8786BB" w14:textId="7707B69E" w:rsidR="00AC528E" w:rsidRPr="00AB0C4E" w:rsidRDefault="00BA0C4F" w:rsidP="00E9725D">
            <w:pPr>
              <w:rPr>
                <w:lang w:val="en-GB"/>
              </w:rPr>
            </w:pPr>
            <w:r w:rsidRPr="00AB0C4E">
              <w:rPr>
                <w:lang w:val="en-GB"/>
              </w:rPr>
              <w:t xml:space="preserve">The effects of COVID-19 have resulted in decreased demand for the Company’s goods due to government-imposed closures of </w:t>
            </w:r>
            <w:r w:rsidR="007C4E37">
              <w:rPr>
                <w:lang w:val="en-GB"/>
              </w:rPr>
              <w:t xml:space="preserve">its </w:t>
            </w:r>
            <w:r w:rsidRPr="00AB0C4E">
              <w:rPr>
                <w:lang w:val="en-GB"/>
              </w:rPr>
              <w:t xml:space="preserve">main clients, including gyms and recreation centres. The Company has experienced decreases in overall sales, and while this has been partially mitigated by increased online sales and shifting the Company’s focus to direct to consumer business, the current business model is not sustainable in the long-term due to the Company’s current unavoidable cash outflows. These include rent on its retail locations, management salaries and post-retirement contributions. </w:t>
            </w:r>
          </w:p>
          <w:p w14:paraId="73CDAC24" w14:textId="77777777" w:rsidR="00BA0C4F" w:rsidRPr="00AB0C4E" w:rsidRDefault="00BA0C4F" w:rsidP="00E9725D">
            <w:pPr>
              <w:rPr>
                <w:lang w:val="en-GB"/>
              </w:rPr>
            </w:pPr>
          </w:p>
          <w:p w14:paraId="7446A519" w14:textId="08A80FDE" w:rsidR="00BA0C4F" w:rsidRPr="00AB0C4E" w:rsidRDefault="00BA0C4F" w:rsidP="00E9725D">
            <w:pPr>
              <w:rPr>
                <w:lang w:val="en-GB"/>
              </w:rPr>
            </w:pPr>
            <w:r w:rsidRPr="00AB0C4E">
              <w:rPr>
                <w:lang w:val="en-GB"/>
              </w:rPr>
              <w:t xml:space="preserve">A summary of the financial effects </w:t>
            </w:r>
            <w:r w:rsidR="00D3275A" w:rsidRPr="00AB0C4E">
              <w:rPr>
                <w:lang w:val="en-GB"/>
              </w:rPr>
              <w:t xml:space="preserve">and operational effects </w:t>
            </w:r>
            <w:r w:rsidRPr="00AB0C4E">
              <w:rPr>
                <w:lang w:val="en-GB"/>
              </w:rPr>
              <w:t>of COVID-19 have been as follows (all figures and percentages comparing to the year ended 31 December 2019):</w:t>
            </w:r>
          </w:p>
          <w:p w14:paraId="51BC9B73" w14:textId="77777777" w:rsidR="00BA0C4F" w:rsidRPr="00AB0C4E" w:rsidRDefault="00BA0C4F" w:rsidP="00BA0C4F">
            <w:pPr>
              <w:pStyle w:val="ListParagraph"/>
              <w:numPr>
                <w:ilvl w:val="0"/>
                <w:numId w:val="25"/>
              </w:numPr>
            </w:pPr>
            <w:r w:rsidRPr="00AB0C4E">
              <w:t>Decrease in net sales of 41%</w:t>
            </w:r>
            <w:r w:rsidR="00D3275A" w:rsidRPr="00AB0C4E">
              <w:t>.</w:t>
            </w:r>
          </w:p>
          <w:p w14:paraId="05C09986" w14:textId="77777777" w:rsidR="00D3275A" w:rsidRPr="00AB0C4E" w:rsidRDefault="00D3275A" w:rsidP="00BA0C4F">
            <w:pPr>
              <w:pStyle w:val="ListParagraph"/>
              <w:numPr>
                <w:ilvl w:val="0"/>
                <w:numId w:val="25"/>
              </w:numPr>
            </w:pPr>
            <w:r w:rsidRPr="00AB0C4E">
              <w:t xml:space="preserve">Increase in inventory </w:t>
            </w:r>
            <w:proofErr w:type="spellStart"/>
            <w:r w:rsidRPr="00AB0C4E">
              <w:t>writedowns</w:t>
            </w:r>
            <w:proofErr w:type="spellEnd"/>
            <w:r w:rsidRPr="00AB0C4E">
              <w:t xml:space="preserve"> as a percentage of total sales of 30%. </w:t>
            </w:r>
          </w:p>
          <w:p w14:paraId="66170100" w14:textId="77777777" w:rsidR="00D3275A" w:rsidRPr="00AB0C4E" w:rsidRDefault="00D3275A" w:rsidP="00BA0C4F">
            <w:pPr>
              <w:pStyle w:val="ListParagraph"/>
              <w:numPr>
                <w:ilvl w:val="0"/>
                <w:numId w:val="25"/>
              </w:numPr>
            </w:pPr>
            <w:r w:rsidRPr="00AB0C4E">
              <w:t xml:space="preserve">The closure of 25 of the Company’s stores (130 total stores as at 31 December 2019). </w:t>
            </w:r>
          </w:p>
          <w:p w14:paraId="0F7EF350" w14:textId="5CC3D920" w:rsidR="00D3275A" w:rsidRPr="00AB0C4E" w:rsidRDefault="00D3275A" w:rsidP="00BA0C4F">
            <w:pPr>
              <w:pStyle w:val="ListParagraph"/>
              <w:numPr>
                <w:ilvl w:val="0"/>
                <w:numId w:val="25"/>
              </w:numPr>
            </w:pPr>
            <w:r w:rsidRPr="00AB0C4E">
              <w:t xml:space="preserve">The reduction of total headcount from 375 to 210, with recurring salary expenses being reduced from CU13,000,000 to </w:t>
            </w:r>
            <w:r w:rsidR="00C130EA" w:rsidRPr="00AB0C4E">
              <w:t>CU</w:t>
            </w:r>
            <w:r w:rsidRPr="00AB0C4E">
              <w:t>6,900,000.</w:t>
            </w:r>
          </w:p>
          <w:p w14:paraId="3D5E42CE" w14:textId="77777777" w:rsidR="00D3275A" w:rsidRPr="00AB0C4E" w:rsidRDefault="00D3275A" w:rsidP="00D3275A">
            <w:pPr>
              <w:rPr>
                <w:lang w:val="en-GB"/>
              </w:rPr>
            </w:pPr>
          </w:p>
          <w:p w14:paraId="4D2CB90F" w14:textId="77777777" w:rsidR="00184958" w:rsidRPr="00AB0C4E" w:rsidRDefault="00D3275A" w:rsidP="00D3275A">
            <w:pPr>
              <w:rPr>
                <w:lang w:val="en-GB"/>
              </w:rPr>
            </w:pPr>
            <w:r w:rsidRPr="00AB0C4E">
              <w:rPr>
                <w:lang w:val="en-GB"/>
              </w:rPr>
              <w:t xml:space="preserve">Based on management’s estimate of cash flows, </w:t>
            </w:r>
            <w:r w:rsidR="00C130EA" w:rsidRPr="00AB0C4E">
              <w:rPr>
                <w:lang w:val="en-GB"/>
              </w:rPr>
              <w:t>under current conditions</w:t>
            </w:r>
            <w:r w:rsidR="00A11A82" w:rsidRPr="00AB0C4E">
              <w:rPr>
                <w:lang w:val="en-GB"/>
              </w:rPr>
              <w:t xml:space="preserve"> with no further reductions in staff and other operating costs</w:t>
            </w:r>
            <w:r w:rsidR="00C130EA" w:rsidRPr="00AB0C4E">
              <w:rPr>
                <w:lang w:val="en-GB"/>
              </w:rPr>
              <w:t xml:space="preserve">, excluding its obligation to repay its bank loan of CU5,000,000, the Company is able to continue operations until 31 December 2021. However, the Company may be required to repay its bank loan on 30 June 2021 if it fails its debt to equity covenant on that date, and the loan is otherwise repayable on 30 September 2021. </w:t>
            </w:r>
            <w:r w:rsidR="00512CD3" w:rsidRPr="00AB0C4E">
              <w:rPr>
                <w:lang w:val="en-GB"/>
              </w:rPr>
              <w:t xml:space="preserve">The Company’s obligation to repay its bank loan creates a material uncertainty as to its ability to continue as a going concern. </w:t>
            </w:r>
          </w:p>
          <w:p w14:paraId="4F195448" w14:textId="77777777" w:rsidR="00184958" w:rsidRPr="00AB0C4E" w:rsidRDefault="00184958" w:rsidP="00D3275A">
            <w:pPr>
              <w:rPr>
                <w:lang w:val="en-GB"/>
              </w:rPr>
            </w:pPr>
          </w:p>
          <w:p w14:paraId="4BCFE1FA" w14:textId="6ED4DCD2" w:rsidR="00FF1DFF" w:rsidRDefault="00FF1DFF" w:rsidP="00184958">
            <w:pPr>
              <w:rPr>
                <w:lang w:val="en-GB"/>
              </w:rPr>
            </w:pPr>
          </w:p>
          <w:p w14:paraId="6AF41036" w14:textId="77777777" w:rsidR="00FF1DFF" w:rsidRDefault="00FF1DFF" w:rsidP="00184958">
            <w:pPr>
              <w:rPr>
                <w:lang w:val="en-GB"/>
              </w:rPr>
            </w:pPr>
          </w:p>
          <w:p w14:paraId="5D3F47D6" w14:textId="3F098304" w:rsidR="00184958" w:rsidRPr="00AB0C4E" w:rsidRDefault="00184958" w:rsidP="00184958">
            <w:pPr>
              <w:rPr>
                <w:lang w:val="en-GB"/>
              </w:rPr>
            </w:pPr>
            <w:r w:rsidRPr="00AB0C4E">
              <w:rPr>
                <w:lang w:val="en-GB"/>
              </w:rPr>
              <w:t xml:space="preserve"> </w:t>
            </w:r>
          </w:p>
        </w:tc>
      </w:tr>
    </w:tbl>
    <w:p w14:paraId="25EC9496" w14:textId="77777777" w:rsidR="00FF1DFF" w:rsidRPr="00AB0C4E" w:rsidRDefault="00FF1DFF" w:rsidP="00FF1DFF">
      <w:pPr>
        <w:pStyle w:val="2kopBDO"/>
        <w:rPr>
          <w:lang w:val="en-GB"/>
        </w:rPr>
      </w:pPr>
      <w:r w:rsidRPr="00AB0C4E">
        <w:rPr>
          <w:lang w:val="en-GB"/>
        </w:rPr>
        <w:lastRenderedPageBreak/>
        <w:t>B.1 – Going Concern UNCERTAINTY</w:t>
      </w:r>
      <w:r>
        <w:rPr>
          <w:lang w:val="en-GB"/>
        </w:rPr>
        <w:t xml:space="preserve"> (continued)</w:t>
      </w:r>
    </w:p>
    <w:tbl>
      <w:tblPr>
        <w:tblStyle w:val="TableGrid"/>
        <w:tblW w:w="13993" w:type="dxa"/>
        <w:tblLook w:val="04A0" w:firstRow="1" w:lastRow="0" w:firstColumn="1" w:lastColumn="0" w:noHBand="0" w:noVBand="1"/>
      </w:tblPr>
      <w:tblGrid>
        <w:gridCol w:w="1469"/>
        <w:gridCol w:w="12524"/>
      </w:tblGrid>
      <w:tr w:rsidR="00FF1DFF" w:rsidRPr="00AB0C4E" w14:paraId="7D6DA510" w14:textId="77777777" w:rsidTr="004263B7">
        <w:tc>
          <w:tcPr>
            <w:tcW w:w="13993" w:type="dxa"/>
            <w:gridSpan w:val="2"/>
            <w:shd w:val="clear" w:color="auto" w:fill="218F8B" w:themeFill="background2"/>
          </w:tcPr>
          <w:p w14:paraId="62AF62C9" w14:textId="406C0B67" w:rsidR="00FF1DFF" w:rsidRPr="00AB0C4E" w:rsidRDefault="00FF1DFF" w:rsidP="004263B7">
            <w:pPr>
              <w:rPr>
                <w:color w:val="FFFFFF" w:themeColor="background1"/>
                <w:lang w:val="en-GB"/>
              </w:rPr>
            </w:pPr>
            <w:r w:rsidRPr="00AB0C4E">
              <w:rPr>
                <w:color w:val="FFFFFF" w:themeColor="background1"/>
                <w:lang w:val="en-GB"/>
              </w:rPr>
              <w:t xml:space="preserve">B.1(c) – Going concern disclosure when materiality uncertainty exists </w:t>
            </w:r>
            <w:r>
              <w:rPr>
                <w:color w:val="FFFFFF" w:themeColor="background1"/>
                <w:lang w:val="en-GB"/>
              </w:rPr>
              <w:t>(continued)</w:t>
            </w:r>
          </w:p>
        </w:tc>
      </w:tr>
      <w:tr w:rsidR="00FF1DFF" w:rsidRPr="00AB0C4E" w14:paraId="60D3FB1D" w14:textId="77777777" w:rsidTr="004263B7">
        <w:tc>
          <w:tcPr>
            <w:tcW w:w="1469" w:type="dxa"/>
            <w:shd w:val="clear" w:color="auto" w:fill="657C91" w:themeFill="accent4"/>
          </w:tcPr>
          <w:p w14:paraId="7262542A" w14:textId="77777777" w:rsidR="00FF1DFF" w:rsidRPr="00AB0C4E" w:rsidRDefault="00FF1DFF" w:rsidP="004263B7">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4143CB1D" w14:textId="77777777" w:rsidR="00FF1DFF" w:rsidRPr="00AB0C4E" w:rsidRDefault="00FF1DFF" w:rsidP="004263B7">
            <w:pPr>
              <w:rPr>
                <w:color w:val="FFFFFF" w:themeColor="background1"/>
                <w:lang w:val="en-GB"/>
              </w:rPr>
            </w:pPr>
            <w:r w:rsidRPr="00AB0C4E">
              <w:rPr>
                <w:color w:val="FFFFFF" w:themeColor="background1"/>
                <w:lang w:val="en-GB"/>
              </w:rPr>
              <w:t xml:space="preserve">Illustrative disclosure </w:t>
            </w:r>
          </w:p>
        </w:tc>
      </w:tr>
      <w:tr w:rsidR="00911284" w:rsidRPr="00AB0C4E" w14:paraId="7F317134" w14:textId="77777777" w:rsidTr="006111BD">
        <w:tc>
          <w:tcPr>
            <w:tcW w:w="1469" w:type="dxa"/>
            <w:shd w:val="clear" w:color="auto" w:fill="FFFFFF" w:themeFill="background1"/>
          </w:tcPr>
          <w:p w14:paraId="6BEC7066" w14:textId="77777777" w:rsidR="00911284" w:rsidRPr="00AB0C4E" w:rsidRDefault="00911284" w:rsidP="00E9725D">
            <w:pPr>
              <w:rPr>
                <w:lang w:val="en-GB"/>
              </w:rPr>
            </w:pPr>
          </w:p>
        </w:tc>
        <w:tc>
          <w:tcPr>
            <w:tcW w:w="12524" w:type="dxa"/>
            <w:shd w:val="clear" w:color="auto" w:fill="FFFFFF" w:themeFill="background1"/>
          </w:tcPr>
          <w:p w14:paraId="36314548" w14:textId="77777777" w:rsidR="00FF1DFF" w:rsidRPr="00AB0C4E" w:rsidRDefault="00FF1DFF" w:rsidP="00FF1DFF">
            <w:pPr>
              <w:rPr>
                <w:lang w:val="en-GB"/>
              </w:rPr>
            </w:pPr>
            <w:r w:rsidRPr="00AB0C4E">
              <w:rPr>
                <w:lang w:val="en-GB"/>
              </w:rPr>
              <w:t>In response to these uncertainties, the Company has undertaken the following:</w:t>
            </w:r>
          </w:p>
          <w:p w14:paraId="1B3B9C6C" w14:textId="77777777" w:rsidR="00FF1DFF" w:rsidRPr="00AB0C4E" w:rsidRDefault="00FF1DFF" w:rsidP="00FF1DFF">
            <w:pPr>
              <w:rPr>
                <w:lang w:val="en-GB"/>
              </w:rPr>
            </w:pPr>
          </w:p>
          <w:p w14:paraId="58EC96BA" w14:textId="77777777" w:rsidR="00FF1DFF" w:rsidRPr="00AB0C4E" w:rsidRDefault="00FF1DFF" w:rsidP="00FF1DFF">
            <w:pPr>
              <w:pStyle w:val="ListParagraph"/>
              <w:numPr>
                <w:ilvl w:val="0"/>
                <w:numId w:val="26"/>
              </w:numPr>
              <w:spacing w:after="200" w:line="276" w:lineRule="auto"/>
            </w:pPr>
            <w:r w:rsidRPr="00AB0C4E">
              <w:t>Early retirement packages have been offered to 10 senior managers with delayed payment terms from 1 January 2022 – 31 December 2024, which if accepted, would reduce cash flows in 2021 by CU980,000.</w:t>
            </w:r>
          </w:p>
          <w:p w14:paraId="075F3FF4" w14:textId="77777777" w:rsidR="00FF1DFF" w:rsidRPr="00AB0C4E" w:rsidRDefault="00FF1DFF" w:rsidP="00FF1DFF">
            <w:pPr>
              <w:pStyle w:val="ListParagraph"/>
              <w:numPr>
                <w:ilvl w:val="0"/>
                <w:numId w:val="26"/>
              </w:numPr>
              <w:spacing w:after="200" w:line="276" w:lineRule="auto"/>
            </w:pPr>
            <w:r w:rsidRPr="00AB0C4E">
              <w:t>Subsequent to period end, the Company obtained a waiver from its lender relating to the debt to equity ratio loan covenant requirements as at 30 June 2021, therefore, the earliest point in time that the Company may be obligated to repay its bank loan is 30 September 2021. By this point in time, the Company believes cash flows will have returned to 85% of pre-COVID-19 levels due to the reopening of gyms and health centres.</w:t>
            </w:r>
          </w:p>
          <w:p w14:paraId="6B31BAD9" w14:textId="18C8A577" w:rsidR="00FF1DFF" w:rsidRPr="00FF1DFF" w:rsidRDefault="00FF1DFF" w:rsidP="00E34B15">
            <w:pPr>
              <w:pStyle w:val="ListParagraph"/>
              <w:numPr>
                <w:ilvl w:val="0"/>
                <w:numId w:val="26"/>
              </w:numPr>
            </w:pPr>
            <w:r w:rsidRPr="00AB0C4E">
              <w:t xml:space="preserve">The Company has </w:t>
            </w:r>
            <w:proofErr w:type="gramStart"/>
            <w:r w:rsidRPr="00AB0C4E">
              <w:t>entered into</w:t>
            </w:r>
            <w:proofErr w:type="gramEnd"/>
            <w:r w:rsidRPr="00AB0C4E">
              <w:t xml:space="preserve"> negotiations with its lender to syndicate the loan coming due on 30 September 2021. This would consist of three other lenders accepting 75% of the total CU5,000,000 of the loan and refinancing it to be repaid as an amortising loan over 4 years at an interest rate of 10%. These negotiations remain ongoing. </w:t>
            </w:r>
          </w:p>
          <w:p w14:paraId="6DDA0FD7" w14:textId="77777777" w:rsidR="00FF1DFF" w:rsidRPr="00AB0C4E" w:rsidRDefault="00FF1DFF" w:rsidP="00FF1DFF">
            <w:pPr>
              <w:rPr>
                <w:lang w:val="en-GB"/>
              </w:rPr>
            </w:pPr>
            <w:r w:rsidRPr="00AB0C4E">
              <w:rPr>
                <w:lang w:val="en-GB"/>
              </w:rPr>
              <w:t xml:space="preserve">If the Company is unable to refinance its bank loan or receive forbearance from its lender, the Company would be unable to continue operations. </w:t>
            </w:r>
          </w:p>
          <w:p w14:paraId="619E926E" w14:textId="77777777" w:rsidR="00FF1DFF" w:rsidRPr="00AB0C4E" w:rsidRDefault="00FF1DFF" w:rsidP="00FF1DFF">
            <w:pPr>
              <w:rPr>
                <w:lang w:val="en-GB"/>
              </w:rPr>
            </w:pPr>
          </w:p>
          <w:p w14:paraId="68A0E300" w14:textId="1B647262" w:rsidR="00911284" w:rsidRPr="00AB0C4E" w:rsidRDefault="00FF1DFF" w:rsidP="00FF1DFF">
            <w:pPr>
              <w:rPr>
                <w:u w:val="single"/>
                <w:lang w:val="en-GB"/>
              </w:rPr>
            </w:pPr>
            <w:r w:rsidRPr="00AB0C4E">
              <w:rPr>
                <w:lang w:val="en-GB"/>
              </w:rPr>
              <w:t xml:space="preserve">These uncertainties are </w:t>
            </w:r>
            <w:proofErr w:type="gramStart"/>
            <w:r w:rsidRPr="00AB0C4E">
              <w:rPr>
                <w:lang w:val="en-GB"/>
              </w:rPr>
              <w:t>significant,</w:t>
            </w:r>
            <w:proofErr w:type="gramEnd"/>
            <w:r w:rsidRPr="00AB0C4E">
              <w:rPr>
                <w:lang w:val="en-GB"/>
              </w:rPr>
              <w:t xml:space="preserve"> however, management believes that the actions taken and those still underway are sufficient to mitigate the uncertainty and therefore, these financial statements have been prepared on a going concern basis.</w:t>
            </w:r>
          </w:p>
        </w:tc>
      </w:tr>
      <w:tr w:rsidR="006111BD" w:rsidRPr="00AB0C4E" w14:paraId="7C0E6198" w14:textId="77777777" w:rsidTr="006111BD">
        <w:tc>
          <w:tcPr>
            <w:tcW w:w="1469" w:type="dxa"/>
            <w:shd w:val="clear" w:color="auto" w:fill="FFFFFF" w:themeFill="background1"/>
          </w:tcPr>
          <w:p w14:paraId="7D2CAD92" w14:textId="77777777" w:rsidR="006111BD" w:rsidRPr="00AB0C4E" w:rsidRDefault="006111BD" w:rsidP="00E9725D">
            <w:pPr>
              <w:rPr>
                <w:lang w:val="en-GB"/>
              </w:rPr>
            </w:pPr>
          </w:p>
        </w:tc>
        <w:tc>
          <w:tcPr>
            <w:tcW w:w="12524" w:type="dxa"/>
            <w:shd w:val="clear" w:color="auto" w:fill="FFFFFF" w:themeFill="background1"/>
          </w:tcPr>
          <w:p w14:paraId="360BC196" w14:textId="537781BD" w:rsidR="006111BD" w:rsidRPr="00AB0C4E" w:rsidRDefault="00001065" w:rsidP="00E9725D">
            <w:pPr>
              <w:rPr>
                <w:lang w:val="en-GB"/>
              </w:rPr>
            </w:pPr>
            <w:r w:rsidRPr="00AB0C4E">
              <w:rPr>
                <w:i/>
                <w:iCs/>
                <w:lang w:val="en-GB"/>
              </w:rPr>
              <w:t>Analysis:</w:t>
            </w:r>
            <w:r w:rsidR="00F26442" w:rsidRPr="00AB0C4E">
              <w:rPr>
                <w:i/>
                <w:iCs/>
                <w:lang w:val="en-GB"/>
              </w:rPr>
              <w:t xml:space="preserve"> if an entity concludes that there is material uncertainty relating to its ability to continue as a going concern, the disclosure of the material uncertainties should be prominently presented in the financial statements. As the going concern assumption is still considered appropriate, the entity should disclose mitigating factors and the courses of action it plans to take in order to continue operations. Where there is uncertainty surrounding those plans (e.g. the ability to obtain financing), those uncertainties should be disclosed. </w:t>
            </w:r>
          </w:p>
        </w:tc>
      </w:tr>
    </w:tbl>
    <w:p w14:paraId="2B74891D" w14:textId="26306660" w:rsidR="00FF1DFF" w:rsidRDefault="00FF1DFF">
      <w:pPr>
        <w:rPr>
          <w:lang w:val="en-GB"/>
        </w:rPr>
      </w:pPr>
      <w:r>
        <w:rPr>
          <w:lang w:val="en-GB"/>
        </w:rPr>
        <w:br w:type="page"/>
      </w:r>
    </w:p>
    <w:p w14:paraId="0559ECD8" w14:textId="772848C4" w:rsidR="00AB0097" w:rsidRPr="00AB0C4E" w:rsidRDefault="00FF1DFF" w:rsidP="00E34B15">
      <w:pPr>
        <w:pStyle w:val="2kopBDO"/>
        <w:rPr>
          <w:lang w:val="en-GB"/>
        </w:rPr>
      </w:pPr>
      <w:r w:rsidRPr="00AB0C4E">
        <w:rPr>
          <w:lang w:val="en-GB"/>
        </w:rPr>
        <w:lastRenderedPageBreak/>
        <w:t>B.1 – Going Concern UNCERTAINTY</w:t>
      </w:r>
      <w:r>
        <w:rPr>
          <w:lang w:val="en-GB"/>
        </w:rPr>
        <w:t xml:space="preserve"> (continued)</w:t>
      </w:r>
    </w:p>
    <w:tbl>
      <w:tblPr>
        <w:tblStyle w:val="TableGrid"/>
        <w:tblW w:w="13993" w:type="dxa"/>
        <w:tblLook w:val="04A0" w:firstRow="1" w:lastRow="0" w:firstColumn="1" w:lastColumn="0" w:noHBand="0" w:noVBand="1"/>
      </w:tblPr>
      <w:tblGrid>
        <w:gridCol w:w="1469"/>
        <w:gridCol w:w="12524"/>
      </w:tblGrid>
      <w:tr w:rsidR="006111BD" w:rsidRPr="00AB0C4E" w14:paraId="6FC0CDB7" w14:textId="77777777" w:rsidTr="00E9725D">
        <w:tc>
          <w:tcPr>
            <w:tcW w:w="13993" w:type="dxa"/>
            <w:gridSpan w:val="2"/>
            <w:shd w:val="clear" w:color="auto" w:fill="218F8B" w:themeFill="background2"/>
          </w:tcPr>
          <w:p w14:paraId="3AE87851" w14:textId="77777777" w:rsidR="006111BD" w:rsidRPr="00AB0C4E" w:rsidRDefault="006111BD" w:rsidP="006111BD">
            <w:pPr>
              <w:rPr>
                <w:color w:val="FFFFFF" w:themeColor="background1"/>
                <w:lang w:val="en-GB"/>
              </w:rPr>
            </w:pPr>
            <w:r w:rsidRPr="00AB0C4E">
              <w:rPr>
                <w:color w:val="FFFFFF" w:themeColor="background1"/>
                <w:lang w:val="en-GB"/>
              </w:rPr>
              <w:t xml:space="preserve">B.1(d) – Going concern disclosure when going concern assumption is no longer appropriate </w:t>
            </w:r>
          </w:p>
          <w:p w14:paraId="20C6132B" w14:textId="77777777" w:rsidR="006111BD" w:rsidRPr="00AB0C4E" w:rsidRDefault="006111BD" w:rsidP="00E9725D">
            <w:pPr>
              <w:rPr>
                <w:color w:val="FFFFFF" w:themeColor="background1"/>
                <w:lang w:val="en-GB"/>
              </w:rPr>
            </w:pPr>
          </w:p>
          <w:p w14:paraId="69DA1E14" w14:textId="77777777" w:rsidR="006111BD" w:rsidRPr="00AB0C4E" w:rsidRDefault="006111BD" w:rsidP="00E9725D">
            <w:pPr>
              <w:rPr>
                <w:color w:val="FFFFFF" w:themeColor="background1"/>
                <w:lang w:val="en-GB"/>
              </w:rPr>
            </w:pPr>
            <w:r w:rsidRPr="00AB0C4E">
              <w:rPr>
                <w:color w:val="FFFFFF" w:themeColor="background1"/>
                <w:lang w:val="en-GB"/>
              </w:rPr>
              <w:t>Additional information:</w:t>
            </w:r>
          </w:p>
        </w:tc>
      </w:tr>
      <w:tr w:rsidR="006111BD" w:rsidRPr="00AB0C4E" w14:paraId="64A30689" w14:textId="77777777" w:rsidTr="00E9725D">
        <w:tc>
          <w:tcPr>
            <w:tcW w:w="1469" w:type="dxa"/>
            <w:shd w:val="clear" w:color="auto" w:fill="657C91" w:themeFill="accent4"/>
          </w:tcPr>
          <w:p w14:paraId="52A0C743" w14:textId="77777777" w:rsidR="006111BD" w:rsidRPr="00AB0C4E" w:rsidRDefault="006111BD" w:rsidP="00D72105">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7D0930D3" w14:textId="77777777" w:rsidR="006111BD" w:rsidRPr="00AB0C4E" w:rsidRDefault="006111BD" w:rsidP="00E9725D">
            <w:pPr>
              <w:rPr>
                <w:color w:val="FFFFFF" w:themeColor="background1"/>
                <w:lang w:val="en-GB"/>
              </w:rPr>
            </w:pPr>
            <w:r w:rsidRPr="00AB0C4E">
              <w:rPr>
                <w:color w:val="FFFFFF" w:themeColor="background1"/>
                <w:lang w:val="en-GB"/>
              </w:rPr>
              <w:t xml:space="preserve">Illustrative disclosure </w:t>
            </w:r>
          </w:p>
        </w:tc>
      </w:tr>
      <w:tr w:rsidR="006111BD" w:rsidRPr="00AB0C4E" w14:paraId="4561D75F" w14:textId="77777777" w:rsidTr="00E9725D">
        <w:tc>
          <w:tcPr>
            <w:tcW w:w="1469" w:type="dxa"/>
            <w:shd w:val="clear" w:color="auto" w:fill="FFFFFF" w:themeFill="background1"/>
          </w:tcPr>
          <w:p w14:paraId="5D3EA796" w14:textId="77777777" w:rsidR="006111BD" w:rsidRPr="00AB0C4E" w:rsidRDefault="006111BD" w:rsidP="00D72105">
            <w:pPr>
              <w:jc w:val="right"/>
              <w:rPr>
                <w:lang w:val="en-GB"/>
              </w:rPr>
            </w:pPr>
          </w:p>
        </w:tc>
        <w:tc>
          <w:tcPr>
            <w:tcW w:w="12524" w:type="dxa"/>
            <w:shd w:val="clear" w:color="auto" w:fill="FFFFFF" w:themeFill="background1"/>
          </w:tcPr>
          <w:p w14:paraId="47AFFBF6" w14:textId="3F77370F" w:rsidR="006111BD" w:rsidRPr="00AB0C4E" w:rsidRDefault="00FB5B51" w:rsidP="00E9725D">
            <w:pPr>
              <w:rPr>
                <w:lang w:val="en-GB"/>
              </w:rPr>
            </w:pPr>
            <w:r w:rsidRPr="00AB0C4E">
              <w:rPr>
                <w:lang w:val="en-GB"/>
              </w:rPr>
              <w:t xml:space="preserve">Not illustrated. </w:t>
            </w:r>
          </w:p>
        </w:tc>
      </w:tr>
      <w:tr w:rsidR="006111BD" w:rsidRPr="00AB0C4E" w14:paraId="59991A7C" w14:textId="77777777" w:rsidTr="00E9725D">
        <w:tc>
          <w:tcPr>
            <w:tcW w:w="1469" w:type="dxa"/>
            <w:shd w:val="clear" w:color="auto" w:fill="FFFFFF" w:themeFill="background1"/>
          </w:tcPr>
          <w:p w14:paraId="55902A88" w14:textId="77777777" w:rsidR="006111BD" w:rsidRPr="00AB0C4E" w:rsidRDefault="006111BD" w:rsidP="00D72105">
            <w:pPr>
              <w:jc w:val="right"/>
              <w:rPr>
                <w:lang w:val="en-GB"/>
              </w:rPr>
            </w:pPr>
          </w:p>
        </w:tc>
        <w:tc>
          <w:tcPr>
            <w:tcW w:w="12524" w:type="dxa"/>
            <w:shd w:val="clear" w:color="auto" w:fill="FFFFFF" w:themeFill="background1"/>
          </w:tcPr>
          <w:p w14:paraId="16BC8723" w14:textId="720AFC01" w:rsidR="006111BD" w:rsidRPr="00AB0C4E" w:rsidRDefault="00001065" w:rsidP="00E9725D">
            <w:pPr>
              <w:rPr>
                <w:lang w:val="en-GB"/>
              </w:rPr>
            </w:pPr>
            <w:r w:rsidRPr="00AB0C4E">
              <w:rPr>
                <w:i/>
                <w:iCs/>
                <w:lang w:val="en-GB"/>
              </w:rPr>
              <w:t>Analysis:</w:t>
            </w:r>
            <w:r w:rsidR="00FB5B51" w:rsidRPr="00AB0C4E">
              <w:rPr>
                <w:i/>
                <w:iCs/>
                <w:lang w:val="en-GB"/>
              </w:rPr>
              <w:t xml:space="preserve"> the financial reporting</w:t>
            </w:r>
            <w:r w:rsidR="000B2B6B" w:rsidRPr="00AB0C4E">
              <w:rPr>
                <w:i/>
                <w:iCs/>
                <w:lang w:val="en-GB"/>
              </w:rPr>
              <w:t>, legal, regulatory and other</w:t>
            </w:r>
            <w:r w:rsidR="00FB5B51" w:rsidRPr="00AB0C4E">
              <w:rPr>
                <w:i/>
                <w:iCs/>
                <w:lang w:val="en-GB"/>
              </w:rPr>
              <w:t xml:space="preserve"> implications</w:t>
            </w:r>
            <w:r w:rsidR="00F26442" w:rsidRPr="00AB0C4E">
              <w:rPr>
                <w:i/>
                <w:iCs/>
                <w:lang w:val="en-GB"/>
              </w:rPr>
              <w:t xml:space="preserve"> of</w:t>
            </w:r>
            <w:r w:rsidR="00FB5B51" w:rsidRPr="00AB0C4E">
              <w:rPr>
                <w:i/>
                <w:iCs/>
                <w:lang w:val="en-GB"/>
              </w:rPr>
              <w:t xml:space="preserve"> the going concern assumption no longer being appropriate </w:t>
            </w:r>
            <w:r w:rsidR="000B2B6B" w:rsidRPr="00AB0C4E">
              <w:rPr>
                <w:i/>
                <w:iCs/>
                <w:lang w:val="en-GB"/>
              </w:rPr>
              <w:t xml:space="preserve">are </w:t>
            </w:r>
            <w:r w:rsidR="00FB5B51" w:rsidRPr="00AB0C4E">
              <w:rPr>
                <w:i/>
                <w:iCs/>
                <w:lang w:val="en-GB"/>
              </w:rPr>
              <w:t xml:space="preserve">extensive and are therefore beyond the scope of this publication. If an entity intends to liquidate, cease trading or has no realistic alternative but to do so, management and those charged with governance should seek professional advice. </w:t>
            </w:r>
          </w:p>
        </w:tc>
      </w:tr>
    </w:tbl>
    <w:p w14:paraId="0E2C0104" w14:textId="742E3D57" w:rsidR="00F67B73" w:rsidRDefault="00F67B73">
      <w:pPr>
        <w:rPr>
          <w:lang w:val="en-GB"/>
        </w:rPr>
      </w:pPr>
      <w:r>
        <w:rPr>
          <w:lang w:val="en-GB"/>
        </w:rPr>
        <w:br w:type="page"/>
      </w:r>
    </w:p>
    <w:p w14:paraId="2A0FF716" w14:textId="0D010F2B" w:rsidR="007A0E8A" w:rsidRPr="00AB0C4E" w:rsidRDefault="007A0E8A" w:rsidP="007A0E8A">
      <w:pPr>
        <w:pStyle w:val="2kopBDO"/>
        <w:rPr>
          <w:lang w:val="en-GB"/>
        </w:rPr>
      </w:pPr>
      <w:bookmarkStart w:id="6" w:name="B2"/>
      <w:r w:rsidRPr="00AB0C4E">
        <w:rPr>
          <w:lang w:val="en-GB"/>
        </w:rPr>
        <w:lastRenderedPageBreak/>
        <w:t xml:space="preserve">B.2 </w:t>
      </w:r>
      <w:bookmarkEnd w:id="6"/>
      <w:r w:rsidRPr="00AB0C4E">
        <w:rPr>
          <w:lang w:val="en-GB"/>
        </w:rPr>
        <w:t xml:space="preserve">– </w:t>
      </w:r>
      <w:r w:rsidR="000C1E9D" w:rsidRPr="00AB0C4E">
        <w:rPr>
          <w:lang w:val="en-GB"/>
        </w:rPr>
        <w:t>BANK COVENANTS</w:t>
      </w:r>
      <w:r w:rsidRPr="00AB0C4E">
        <w:rPr>
          <w:lang w:val="en-GB"/>
        </w:rPr>
        <w:t xml:space="preserve"> </w:t>
      </w:r>
    </w:p>
    <w:tbl>
      <w:tblPr>
        <w:tblStyle w:val="TableGrid"/>
        <w:tblW w:w="13993" w:type="dxa"/>
        <w:tblLook w:val="04A0" w:firstRow="1" w:lastRow="0" w:firstColumn="1" w:lastColumn="0" w:noHBand="0" w:noVBand="1"/>
      </w:tblPr>
      <w:tblGrid>
        <w:gridCol w:w="1469"/>
        <w:gridCol w:w="12524"/>
      </w:tblGrid>
      <w:tr w:rsidR="007A0E8A" w:rsidRPr="00AB0C4E" w14:paraId="4CAC4777" w14:textId="77777777" w:rsidTr="001F50DB">
        <w:tc>
          <w:tcPr>
            <w:tcW w:w="13993" w:type="dxa"/>
            <w:gridSpan w:val="2"/>
            <w:shd w:val="clear" w:color="auto" w:fill="218F8B" w:themeFill="background2"/>
          </w:tcPr>
          <w:p w14:paraId="21F40662" w14:textId="6147967A" w:rsidR="007A0E8A" w:rsidRPr="00AB0C4E" w:rsidRDefault="007A0E8A" w:rsidP="001F50DB">
            <w:pPr>
              <w:rPr>
                <w:color w:val="FFFFFF" w:themeColor="background1"/>
                <w:lang w:val="en-GB"/>
              </w:rPr>
            </w:pPr>
            <w:r w:rsidRPr="00AB0C4E">
              <w:rPr>
                <w:color w:val="FFFFFF" w:themeColor="background1"/>
                <w:lang w:val="en-GB"/>
              </w:rPr>
              <w:t>B.</w:t>
            </w:r>
            <w:r w:rsidR="00A87DFD" w:rsidRPr="00AB0C4E">
              <w:rPr>
                <w:color w:val="FFFFFF" w:themeColor="background1"/>
                <w:lang w:val="en-GB"/>
              </w:rPr>
              <w:t>2</w:t>
            </w:r>
            <w:r w:rsidRPr="00AB0C4E">
              <w:rPr>
                <w:color w:val="FFFFFF" w:themeColor="background1"/>
                <w:lang w:val="en-GB"/>
              </w:rPr>
              <w:t>(</w:t>
            </w:r>
            <w:r w:rsidR="00A87DFD" w:rsidRPr="00AB0C4E">
              <w:rPr>
                <w:color w:val="FFFFFF" w:themeColor="background1"/>
                <w:lang w:val="en-GB"/>
              </w:rPr>
              <w:t>a</w:t>
            </w:r>
            <w:r w:rsidRPr="00AB0C4E">
              <w:rPr>
                <w:color w:val="FFFFFF" w:themeColor="background1"/>
                <w:lang w:val="en-GB"/>
              </w:rPr>
              <w:t xml:space="preserve">) – </w:t>
            </w:r>
            <w:r w:rsidR="0051703B" w:rsidRPr="00AB0C4E">
              <w:rPr>
                <w:color w:val="FFFFFF" w:themeColor="background1"/>
                <w:lang w:val="en-GB"/>
              </w:rPr>
              <w:t>bank covenant violated as at period end, resulting in a bank loan becoming due on demand; covenant violation is not remedied by the date the financial statements are completed.</w:t>
            </w:r>
          </w:p>
          <w:p w14:paraId="29A5A875" w14:textId="77777777" w:rsidR="007A0E8A" w:rsidRPr="00AB0C4E" w:rsidRDefault="007A0E8A" w:rsidP="001F50DB">
            <w:pPr>
              <w:rPr>
                <w:color w:val="FFFFFF" w:themeColor="background1"/>
                <w:lang w:val="en-GB"/>
              </w:rPr>
            </w:pPr>
          </w:p>
          <w:p w14:paraId="533C5596" w14:textId="76889E70" w:rsidR="007A0E8A" w:rsidRPr="00AB0C4E" w:rsidRDefault="007A0E8A" w:rsidP="001F50DB">
            <w:pPr>
              <w:rPr>
                <w:color w:val="FFFFFF" w:themeColor="background1"/>
                <w:lang w:val="en-GB"/>
              </w:rPr>
            </w:pPr>
            <w:r w:rsidRPr="00AB0C4E">
              <w:rPr>
                <w:color w:val="FFFFFF" w:themeColor="background1"/>
                <w:lang w:val="en-GB"/>
              </w:rPr>
              <w:t>Additional information:</w:t>
            </w:r>
            <w:r w:rsidR="0051703B" w:rsidRPr="00AB0C4E">
              <w:rPr>
                <w:color w:val="FFFFFF" w:themeColor="background1"/>
                <w:lang w:val="en-GB"/>
              </w:rPr>
              <w:t xml:space="preserve"> Z Layout has a bank loan that is repayable on 31 December 2022 (2 years from period end), however, the bank</w:t>
            </w:r>
            <w:r w:rsidR="007C4E37">
              <w:rPr>
                <w:color w:val="FFFFFF" w:themeColor="background1"/>
                <w:lang w:val="en-GB"/>
              </w:rPr>
              <w:t xml:space="preserve"> has</w:t>
            </w:r>
            <w:r w:rsidR="0051703B" w:rsidRPr="00AB0C4E">
              <w:rPr>
                <w:color w:val="FFFFFF" w:themeColor="background1"/>
                <w:lang w:val="en-GB"/>
              </w:rPr>
              <w:t xml:space="preserve"> the right to demand repayment if Z Layout’s debt to equity ratio exceeds 1. Due to the effects of COVID-19, Z Layout has violated this covenant as 31 December 2020, and a waiver has not been obtained by the date the financial statements are completed. Note that in this scenario, the violation does not give rise to a material uncertainty relating to going concern (see B.1.). </w:t>
            </w:r>
          </w:p>
        </w:tc>
      </w:tr>
      <w:tr w:rsidR="007A0E8A" w:rsidRPr="00AB0C4E" w14:paraId="6E677F54" w14:textId="77777777" w:rsidTr="001F50DB">
        <w:tc>
          <w:tcPr>
            <w:tcW w:w="1469" w:type="dxa"/>
            <w:shd w:val="clear" w:color="auto" w:fill="657C91" w:themeFill="accent4"/>
          </w:tcPr>
          <w:p w14:paraId="083E7042" w14:textId="77777777" w:rsidR="007A0E8A" w:rsidRPr="00AB0C4E" w:rsidRDefault="007A0E8A" w:rsidP="001F50DB">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5E654727" w14:textId="77777777" w:rsidR="007A0E8A" w:rsidRPr="00AB0C4E" w:rsidRDefault="007A0E8A" w:rsidP="001F50DB">
            <w:pPr>
              <w:rPr>
                <w:color w:val="FFFFFF" w:themeColor="background1"/>
                <w:lang w:val="en-GB"/>
              </w:rPr>
            </w:pPr>
            <w:r w:rsidRPr="00AB0C4E">
              <w:rPr>
                <w:color w:val="FFFFFF" w:themeColor="background1"/>
                <w:lang w:val="en-GB"/>
              </w:rPr>
              <w:t xml:space="preserve">Illustrative disclosure </w:t>
            </w:r>
          </w:p>
        </w:tc>
      </w:tr>
      <w:tr w:rsidR="007A0E8A" w:rsidRPr="00AB0C4E" w14:paraId="5EC2D2CB" w14:textId="77777777" w:rsidTr="001F50DB">
        <w:tc>
          <w:tcPr>
            <w:tcW w:w="1469" w:type="dxa"/>
            <w:shd w:val="clear" w:color="auto" w:fill="FFFFFF" w:themeFill="background1"/>
          </w:tcPr>
          <w:p w14:paraId="12EE6024" w14:textId="284CE217" w:rsidR="007A0E8A" w:rsidRPr="00AB0C4E" w:rsidRDefault="00501E9C" w:rsidP="00501E9C">
            <w:pPr>
              <w:jc w:val="right"/>
              <w:rPr>
                <w:lang w:val="en-GB"/>
              </w:rPr>
            </w:pPr>
            <w:r w:rsidRPr="00AB0C4E">
              <w:rPr>
                <w:lang w:val="en-GB"/>
              </w:rPr>
              <w:t xml:space="preserve"> IFRS 7.18</w:t>
            </w:r>
          </w:p>
          <w:p w14:paraId="1D0E7193" w14:textId="77777777" w:rsidR="00141245" w:rsidRPr="00AB0C4E" w:rsidRDefault="00141245" w:rsidP="001F50DB">
            <w:pPr>
              <w:jc w:val="right"/>
              <w:rPr>
                <w:lang w:val="en-GB"/>
              </w:rPr>
            </w:pPr>
          </w:p>
          <w:p w14:paraId="6B05C80D" w14:textId="77777777" w:rsidR="00141245" w:rsidRPr="00AB0C4E" w:rsidRDefault="00141245" w:rsidP="001F50DB">
            <w:pPr>
              <w:jc w:val="right"/>
              <w:rPr>
                <w:lang w:val="en-GB"/>
              </w:rPr>
            </w:pPr>
          </w:p>
          <w:p w14:paraId="138CA364" w14:textId="2B2C1968" w:rsidR="00141245" w:rsidRPr="00AB0C4E" w:rsidRDefault="00141245" w:rsidP="00501E9C">
            <w:pPr>
              <w:rPr>
                <w:lang w:val="en-GB"/>
              </w:rPr>
            </w:pPr>
          </w:p>
        </w:tc>
        <w:tc>
          <w:tcPr>
            <w:tcW w:w="12524" w:type="dxa"/>
            <w:shd w:val="clear" w:color="auto" w:fill="FFFFFF" w:themeFill="background1"/>
          </w:tcPr>
          <w:p w14:paraId="15650022" w14:textId="0282B86D" w:rsidR="00141245" w:rsidRPr="00AB0C4E" w:rsidRDefault="00501E9C" w:rsidP="001F50DB">
            <w:pPr>
              <w:rPr>
                <w:lang w:val="en-GB"/>
              </w:rPr>
            </w:pPr>
            <w:r w:rsidRPr="00AB0C4E">
              <w:rPr>
                <w:lang w:val="en-GB"/>
              </w:rPr>
              <w:t xml:space="preserve">The Company’s bank loan contains a debt to equity covenant, whereas the loan becomes repayable at the option of the </w:t>
            </w:r>
            <w:r w:rsidR="007C4E37">
              <w:rPr>
                <w:lang w:val="en-GB"/>
              </w:rPr>
              <w:t>lender</w:t>
            </w:r>
            <w:r w:rsidR="007C4E37" w:rsidRPr="00AB0C4E">
              <w:rPr>
                <w:lang w:val="en-GB"/>
              </w:rPr>
              <w:t xml:space="preserve"> </w:t>
            </w:r>
            <w:r w:rsidRPr="00AB0C4E">
              <w:rPr>
                <w:lang w:val="en-GB"/>
              </w:rPr>
              <w:t xml:space="preserve">if the ratio exceeds 1 as at 31 December 2020. The Company was in violation of that covenant as at 31 December 2020, and therefore, the </w:t>
            </w:r>
            <w:r w:rsidR="007C4E37">
              <w:rPr>
                <w:lang w:val="en-GB"/>
              </w:rPr>
              <w:t>lender</w:t>
            </w:r>
            <w:r w:rsidR="007C4E37" w:rsidRPr="00AB0C4E">
              <w:rPr>
                <w:lang w:val="en-GB"/>
              </w:rPr>
              <w:t xml:space="preserve"> </w:t>
            </w:r>
            <w:r w:rsidRPr="00AB0C4E">
              <w:rPr>
                <w:lang w:val="en-GB"/>
              </w:rPr>
              <w:t xml:space="preserve">has </w:t>
            </w:r>
            <w:r w:rsidR="007C4E37">
              <w:rPr>
                <w:lang w:val="en-GB"/>
              </w:rPr>
              <w:t>an</w:t>
            </w:r>
            <w:r w:rsidR="007C4E37" w:rsidRPr="00AB0C4E">
              <w:rPr>
                <w:lang w:val="en-GB"/>
              </w:rPr>
              <w:t xml:space="preserve"> </w:t>
            </w:r>
            <w:r w:rsidRPr="00AB0C4E">
              <w:rPr>
                <w:lang w:val="en-GB"/>
              </w:rPr>
              <w:t>unconditional right to demand repayment from the Company immediately.</w:t>
            </w:r>
            <w:r w:rsidR="00741E14" w:rsidRPr="00AB0C4E">
              <w:rPr>
                <w:lang w:val="en-GB"/>
              </w:rPr>
              <w:t xml:space="preserve"> The bank loan has been presented as a current liability in the statement of financial position.</w:t>
            </w:r>
            <w:r w:rsidRPr="00AB0C4E">
              <w:rPr>
                <w:lang w:val="en-GB"/>
              </w:rPr>
              <w:t xml:space="preserve"> This breach was not remedied by the date the financial statements were authorised for issue. </w:t>
            </w:r>
          </w:p>
        </w:tc>
      </w:tr>
      <w:tr w:rsidR="005A2061" w:rsidRPr="00AB0C4E" w14:paraId="14D412B4" w14:textId="77777777" w:rsidTr="001F50DB">
        <w:tc>
          <w:tcPr>
            <w:tcW w:w="1469" w:type="dxa"/>
            <w:shd w:val="clear" w:color="auto" w:fill="FFFFFF" w:themeFill="background1"/>
          </w:tcPr>
          <w:p w14:paraId="74E73A84" w14:textId="77777777" w:rsidR="005A2061" w:rsidRPr="00AB0C4E" w:rsidRDefault="005A2061" w:rsidP="001F50DB">
            <w:pPr>
              <w:jc w:val="right"/>
              <w:rPr>
                <w:lang w:val="en-GB"/>
              </w:rPr>
            </w:pPr>
          </w:p>
        </w:tc>
        <w:tc>
          <w:tcPr>
            <w:tcW w:w="12524" w:type="dxa"/>
            <w:shd w:val="clear" w:color="auto" w:fill="FFFFFF" w:themeFill="background1"/>
          </w:tcPr>
          <w:p w14:paraId="1611F6E5" w14:textId="7E65C843" w:rsidR="0000782F" w:rsidRPr="00AB0C4E" w:rsidRDefault="005A2061" w:rsidP="001F50DB">
            <w:pPr>
              <w:rPr>
                <w:i/>
                <w:iCs/>
                <w:lang w:val="en-GB"/>
              </w:rPr>
            </w:pPr>
            <w:r w:rsidRPr="00AB0C4E">
              <w:rPr>
                <w:i/>
                <w:iCs/>
                <w:lang w:val="en-GB"/>
              </w:rPr>
              <w:t xml:space="preserve">Analysis: </w:t>
            </w:r>
            <w:r w:rsidR="00FA2A4A" w:rsidRPr="00AB0C4E">
              <w:rPr>
                <w:i/>
                <w:iCs/>
                <w:lang w:val="en-GB"/>
              </w:rPr>
              <w:t>a</w:t>
            </w:r>
            <w:r w:rsidR="00501E9C" w:rsidRPr="00AB0C4E">
              <w:rPr>
                <w:i/>
                <w:iCs/>
                <w:lang w:val="en-GB"/>
              </w:rPr>
              <w:t xml:space="preserve">s Z Layout does not have an unconditional right to defer settlement of the bank loan for at least 12 months after the reporting period, the bank loan is presented as a current liability in the statement of financial position. Z Layout does not have this right because the bank loan is due on demand as a result of it failing its debt covenant test as at 31 December 2020. </w:t>
            </w:r>
          </w:p>
          <w:p w14:paraId="1A877DE3" w14:textId="77777777" w:rsidR="0000782F" w:rsidRPr="00AB0C4E" w:rsidRDefault="0000782F" w:rsidP="001F50DB">
            <w:pPr>
              <w:rPr>
                <w:i/>
                <w:iCs/>
                <w:lang w:val="en-GB"/>
              </w:rPr>
            </w:pPr>
          </w:p>
          <w:p w14:paraId="65BCBE0E" w14:textId="55F1F085" w:rsidR="005A2061" w:rsidRPr="00AB0C4E" w:rsidRDefault="0000782F" w:rsidP="001F50DB">
            <w:pPr>
              <w:rPr>
                <w:lang w:val="en-GB"/>
              </w:rPr>
            </w:pPr>
            <w:r w:rsidRPr="00AB0C4E">
              <w:rPr>
                <w:i/>
                <w:iCs/>
                <w:lang w:val="en-GB"/>
              </w:rPr>
              <w:t xml:space="preserve">In preparing its maturity analyses for financial liabilities as required by IFRS 7.39(a) and (b), Z Layout would be required to present the contractual cash flow arising from the bank loan as immediately repayable. This is because IFRS 7.B11C(a) requires the cash flows in the maturity analyses to be based on the earliest period </w:t>
            </w:r>
            <w:r w:rsidR="001B013E" w:rsidRPr="00AB0C4E">
              <w:rPr>
                <w:i/>
                <w:iCs/>
                <w:lang w:val="en-GB"/>
              </w:rPr>
              <w:t xml:space="preserve">in which the entity can be required to pay. </w:t>
            </w:r>
          </w:p>
        </w:tc>
      </w:tr>
    </w:tbl>
    <w:p w14:paraId="69720088" w14:textId="77777777" w:rsidR="00FF1DFF" w:rsidRDefault="00FF1DFF" w:rsidP="006E22AC">
      <w:pPr>
        <w:rPr>
          <w:lang w:val="en-GB"/>
        </w:rPr>
      </w:pPr>
    </w:p>
    <w:p w14:paraId="7CA25E92" w14:textId="6C1A62B3" w:rsidR="00F67B73" w:rsidRDefault="00F67B73" w:rsidP="006E22AC">
      <w:pPr>
        <w:rPr>
          <w:lang w:val="en-GB"/>
        </w:rPr>
      </w:pPr>
      <w:r>
        <w:rPr>
          <w:lang w:val="en-GB"/>
        </w:rPr>
        <w:br w:type="page"/>
      </w:r>
    </w:p>
    <w:p w14:paraId="4B494D03" w14:textId="2D6FC7FB" w:rsidR="00FF1DFF" w:rsidRDefault="00FF1DFF" w:rsidP="00E34B15">
      <w:pPr>
        <w:pStyle w:val="2kopBDO"/>
        <w:rPr>
          <w:lang w:val="en-GB"/>
        </w:rPr>
      </w:pPr>
      <w:r w:rsidRPr="00AB0C4E">
        <w:rPr>
          <w:lang w:val="en-GB"/>
        </w:rPr>
        <w:lastRenderedPageBreak/>
        <w:t xml:space="preserve">B.2 – BANK COVENANTS </w:t>
      </w:r>
      <w:r>
        <w:rPr>
          <w:lang w:val="en-GB"/>
        </w:rPr>
        <w:t>(continued)</w:t>
      </w:r>
    </w:p>
    <w:tbl>
      <w:tblPr>
        <w:tblStyle w:val="TableGrid"/>
        <w:tblW w:w="13993" w:type="dxa"/>
        <w:tblLook w:val="04A0" w:firstRow="1" w:lastRow="0" w:firstColumn="1" w:lastColumn="0" w:noHBand="0" w:noVBand="1"/>
      </w:tblPr>
      <w:tblGrid>
        <w:gridCol w:w="1469"/>
        <w:gridCol w:w="12524"/>
      </w:tblGrid>
      <w:tr w:rsidR="000C1E9D" w:rsidRPr="00AB0C4E" w14:paraId="20193CE1" w14:textId="77777777" w:rsidTr="001F50DB">
        <w:tc>
          <w:tcPr>
            <w:tcW w:w="13993" w:type="dxa"/>
            <w:gridSpan w:val="2"/>
            <w:shd w:val="clear" w:color="auto" w:fill="218F8B" w:themeFill="background2"/>
          </w:tcPr>
          <w:p w14:paraId="1A9E45F4" w14:textId="77C21D8B" w:rsidR="000C1E9D" w:rsidRPr="00AB0C4E" w:rsidRDefault="000C1E9D" w:rsidP="001F50DB">
            <w:pPr>
              <w:rPr>
                <w:color w:val="FFFFFF" w:themeColor="background1"/>
                <w:lang w:val="en-GB"/>
              </w:rPr>
            </w:pPr>
            <w:r w:rsidRPr="00AB0C4E">
              <w:rPr>
                <w:color w:val="FFFFFF" w:themeColor="background1"/>
                <w:lang w:val="en-GB"/>
              </w:rPr>
              <w:t>B.</w:t>
            </w:r>
            <w:r w:rsidR="0051703B" w:rsidRPr="00AB0C4E">
              <w:rPr>
                <w:color w:val="FFFFFF" w:themeColor="background1"/>
                <w:lang w:val="en-GB"/>
              </w:rPr>
              <w:t>2</w:t>
            </w:r>
            <w:r w:rsidRPr="00AB0C4E">
              <w:rPr>
                <w:color w:val="FFFFFF" w:themeColor="background1"/>
                <w:lang w:val="en-GB"/>
              </w:rPr>
              <w:t>(</w:t>
            </w:r>
            <w:r w:rsidR="0051703B" w:rsidRPr="00AB0C4E">
              <w:rPr>
                <w:color w:val="FFFFFF" w:themeColor="background1"/>
                <w:lang w:val="en-GB"/>
              </w:rPr>
              <w:t>b</w:t>
            </w:r>
            <w:r w:rsidRPr="00AB0C4E">
              <w:rPr>
                <w:color w:val="FFFFFF" w:themeColor="background1"/>
                <w:lang w:val="en-GB"/>
              </w:rPr>
              <w:t xml:space="preserve">) – </w:t>
            </w:r>
            <w:r w:rsidR="0051703B" w:rsidRPr="00AB0C4E">
              <w:rPr>
                <w:color w:val="FFFFFF" w:themeColor="background1"/>
                <w:lang w:val="en-GB"/>
              </w:rPr>
              <w:t>bank covenant violated as at period end, resulting in a bank loan becoming due on demand; covenant violation is remedied by the date the financial statements are completed.</w:t>
            </w:r>
          </w:p>
          <w:p w14:paraId="44EE6CCB" w14:textId="77777777" w:rsidR="000C1E9D" w:rsidRPr="00AB0C4E" w:rsidRDefault="000C1E9D" w:rsidP="001F50DB">
            <w:pPr>
              <w:rPr>
                <w:color w:val="FFFFFF" w:themeColor="background1"/>
                <w:lang w:val="en-GB"/>
              </w:rPr>
            </w:pPr>
          </w:p>
          <w:p w14:paraId="09D088B5" w14:textId="2E0E871D" w:rsidR="000C1E9D" w:rsidRPr="00AB0C4E" w:rsidRDefault="000C1E9D" w:rsidP="001F50DB">
            <w:pPr>
              <w:rPr>
                <w:color w:val="FFFFFF" w:themeColor="background1"/>
                <w:lang w:val="en-GB"/>
              </w:rPr>
            </w:pPr>
            <w:r w:rsidRPr="00AB0C4E">
              <w:rPr>
                <w:color w:val="FFFFFF" w:themeColor="background1"/>
                <w:lang w:val="en-GB"/>
              </w:rPr>
              <w:t>Additional information:</w:t>
            </w:r>
            <w:r w:rsidR="001B013E" w:rsidRPr="00AB0C4E">
              <w:rPr>
                <w:color w:val="FFFFFF" w:themeColor="background1"/>
                <w:lang w:val="en-GB"/>
              </w:rPr>
              <w:t xml:space="preserve"> same fact pattern as B.2(</w:t>
            </w:r>
            <w:r w:rsidR="00413421" w:rsidRPr="00AB0C4E">
              <w:rPr>
                <w:color w:val="FFFFFF" w:themeColor="background1"/>
                <w:lang w:val="en-GB"/>
              </w:rPr>
              <w:t>a</w:t>
            </w:r>
            <w:r w:rsidR="001B013E" w:rsidRPr="00AB0C4E">
              <w:rPr>
                <w:color w:val="FFFFFF" w:themeColor="background1"/>
                <w:lang w:val="en-GB"/>
              </w:rPr>
              <w:t xml:space="preserve">), except that Z Layout’s borrower waives its right to demand repayment as a result of the covenant violation on 15 February 2021, before the financial statements are authorised for issue. </w:t>
            </w:r>
          </w:p>
        </w:tc>
      </w:tr>
      <w:tr w:rsidR="000C1E9D" w:rsidRPr="00AB0C4E" w14:paraId="0B216038" w14:textId="77777777" w:rsidTr="001F50DB">
        <w:tc>
          <w:tcPr>
            <w:tcW w:w="1469" w:type="dxa"/>
            <w:shd w:val="clear" w:color="auto" w:fill="657C91" w:themeFill="accent4"/>
          </w:tcPr>
          <w:p w14:paraId="03415544" w14:textId="77777777" w:rsidR="000C1E9D" w:rsidRPr="00AB0C4E" w:rsidRDefault="000C1E9D" w:rsidP="001F50DB">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7C70B6CA" w14:textId="77777777" w:rsidR="000C1E9D" w:rsidRPr="00AB0C4E" w:rsidRDefault="000C1E9D" w:rsidP="001F50DB">
            <w:pPr>
              <w:rPr>
                <w:color w:val="FFFFFF" w:themeColor="background1"/>
                <w:lang w:val="en-GB"/>
              </w:rPr>
            </w:pPr>
            <w:r w:rsidRPr="00AB0C4E">
              <w:rPr>
                <w:color w:val="FFFFFF" w:themeColor="background1"/>
                <w:lang w:val="en-GB"/>
              </w:rPr>
              <w:t xml:space="preserve">Illustrative disclosure </w:t>
            </w:r>
          </w:p>
        </w:tc>
      </w:tr>
      <w:tr w:rsidR="000C1E9D" w:rsidRPr="00AB0C4E" w14:paraId="5890AABA" w14:textId="77777777" w:rsidTr="001F50DB">
        <w:tc>
          <w:tcPr>
            <w:tcW w:w="1469" w:type="dxa"/>
            <w:shd w:val="clear" w:color="auto" w:fill="FFFFFF" w:themeFill="background1"/>
          </w:tcPr>
          <w:p w14:paraId="1A750010" w14:textId="11FB167E" w:rsidR="000C1E9D" w:rsidRPr="00AB0C4E" w:rsidRDefault="001B013E" w:rsidP="001F50DB">
            <w:pPr>
              <w:jc w:val="right"/>
              <w:rPr>
                <w:lang w:val="en-GB"/>
              </w:rPr>
            </w:pPr>
            <w:r w:rsidRPr="00AB0C4E">
              <w:rPr>
                <w:lang w:val="en-GB"/>
              </w:rPr>
              <w:t>IFRS 7.18</w:t>
            </w:r>
          </w:p>
        </w:tc>
        <w:tc>
          <w:tcPr>
            <w:tcW w:w="12524" w:type="dxa"/>
            <w:shd w:val="clear" w:color="auto" w:fill="FFFFFF" w:themeFill="background1"/>
          </w:tcPr>
          <w:p w14:paraId="159036BD" w14:textId="05CB6ED3" w:rsidR="000C1E9D" w:rsidRPr="00AB0C4E" w:rsidRDefault="001B013E" w:rsidP="001F50DB">
            <w:pPr>
              <w:rPr>
                <w:lang w:val="en-GB"/>
              </w:rPr>
            </w:pPr>
            <w:r w:rsidRPr="00AB0C4E">
              <w:rPr>
                <w:lang w:val="en-GB"/>
              </w:rPr>
              <w:t xml:space="preserve">The Company’s bank loan contains a debt to equity covenant, whereas the loan becomes repayable at the option of the </w:t>
            </w:r>
            <w:r w:rsidR="007C4E37">
              <w:rPr>
                <w:lang w:val="en-GB"/>
              </w:rPr>
              <w:t>lender</w:t>
            </w:r>
            <w:r w:rsidR="007C4E37" w:rsidRPr="00AB0C4E">
              <w:rPr>
                <w:lang w:val="en-GB"/>
              </w:rPr>
              <w:t xml:space="preserve"> </w:t>
            </w:r>
            <w:r w:rsidRPr="00AB0C4E">
              <w:rPr>
                <w:lang w:val="en-GB"/>
              </w:rPr>
              <w:t xml:space="preserve">if the ratio exceeds 1 as at 31 December 2020. The Company was in violation of that covenant as at 31 December 2020, and therefore, the </w:t>
            </w:r>
            <w:r w:rsidR="007C4E37">
              <w:rPr>
                <w:lang w:val="en-GB"/>
              </w:rPr>
              <w:t>lender</w:t>
            </w:r>
            <w:r w:rsidR="007C4E37" w:rsidRPr="00AB0C4E">
              <w:rPr>
                <w:lang w:val="en-GB"/>
              </w:rPr>
              <w:t xml:space="preserve"> </w:t>
            </w:r>
            <w:r w:rsidRPr="00AB0C4E">
              <w:rPr>
                <w:lang w:val="en-GB"/>
              </w:rPr>
              <w:t>has the unconditional right to demand repayment from the Company immediately. The bank loan has been presented as a current liability in the statement of financial position. This breach was remedied on 15 February 2021</w:t>
            </w:r>
            <w:r w:rsidR="004C1F46" w:rsidRPr="00AB0C4E">
              <w:rPr>
                <w:lang w:val="en-GB"/>
              </w:rPr>
              <w:t xml:space="preserve">, therefore, the Company will not be required to repay the loan based on the covenant violation as at 31 December 2020. </w:t>
            </w:r>
          </w:p>
        </w:tc>
      </w:tr>
      <w:tr w:rsidR="000C1E9D" w:rsidRPr="00AB0C4E" w14:paraId="20505A21" w14:textId="77777777" w:rsidTr="001F50DB">
        <w:tc>
          <w:tcPr>
            <w:tcW w:w="1469" w:type="dxa"/>
            <w:shd w:val="clear" w:color="auto" w:fill="FFFFFF" w:themeFill="background1"/>
          </w:tcPr>
          <w:p w14:paraId="40F29902" w14:textId="77777777" w:rsidR="000C1E9D" w:rsidRPr="00AB0C4E" w:rsidRDefault="000C1E9D" w:rsidP="001F50DB">
            <w:pPr>
              <w:jc w:val="right"/>
              <w:rPr>
                <w:lang w:val="en-GB"/>
              </w:rPr>
            </w:pPr>
          </w:p>
        </w:tc>
        <w:tc>
          <w:tcPr>
            <w:tcW w:w="12524" w:type="dxa"/>
            <w:shd w:val="clear" w:color="auto" w:fill="FFFFFF" w:themeFill="background1"/>
          </w:tcPr>
          <w:p w14:paraId="2B4C8339" w14:textId="1F0C6071" w:rsidR="000C1E9D" w:rsidRPr="00AB0C4E" w:rsidRDefault="000C1E9D" w:rsidP="001F50DB">
            <w:pPr>
              <w:rPr>
                <w:i/>
                <w:iCs/>
                <w:lang w:val="en-GB"/>
              </w:rPr>
            </w:pPr>
            <w:r w:rsidRPr="00AB0C4E">
              <w:rPr>
                <w:i/>
                <w:iCs/>
                <w:lang w:val="en-GB"/>
              </w:rPr>
              <w:t xml:space="preserve">Analysis: </w:t>
            </w:r>
            <w:r w:rsidR="00FA2A4A" w:rsidRPr="00AB0C4E">
              <w:rPr>
                <w:i/>
                <w:iCs/>
                <w:lang w:val="en-GB"/>
              </w:rPr>
              <w:t>d</w:t>
            </w:r>
            <w:r w:rsidR="004C1F46" w:rsidRPr="00AB0C4E">
              <w:rPr>
                <w:i/>
                <w:iCs/>
                <w:lang w:val="en-GB"/>
              </w:rPr>
              <w:t xml:space="preserve">espite the fact that Z Layout obtained a waiver relating to its covenant violation, the bank loan is classified based on the requirements of IAS 1.69 based on conditions as </w:t>
            </w:r>
            <w:r w:rsidR="00413421" w:rsidRPr="00AB0C4E">
              <w:rPr>
                <w:i/>
                <w:iCs/>
                <w:lang w:val="en-GB"/>
              </w:rPr>
              <w:t xml:space="preserve">at period end. Even if the lender agrees to waive this covenant violation after period end, this does not affect the classification of the liability (IAS 1.74). </w:t>
            </w:r>
          </w:p>
          <w:p w14:paraId="5632EAEC" w14:textId="77777777" w:rsidR="00AF7B49" w:rsidRPr="00AB0C4E" w:rsidRDefault="00AF7B49" w:rsidP="001F50DB">
            <w:pPr>
              <w:rPr>
                <w:lang w:val="en-GB"/>
              </w:rPr>
            </w:pPr>
          </w:p>
          <w:p w14:paraId="0F7DD751" w14:textId="77777777" w:rsidR="00AF7B49" w:rsidRDefault="00AF7B49" w:rsidP="001F50DB">
            <w:pPr>
              <w:rPr>
                <w:i/>
                <w:iCs/>
                <w:lang w:val="en-GB"/>
              </w:rPr>
            </w:pPr>
            <w:r w:rsidRPr="00AB0C4E">
              <w:rPr>
                <w:i/>
                <w:iCs/>
                <w:lang w:val="en-GB"/>
              </w:rPr>
              <w:t>In preparing its maturity analyses for financial liabilities as required by IFRS 7.39(a) and (b), Z Layout would be required to present the contractual cash flow arising from the bank loan as immediately repayable. This is because IFRS 7.B11C(a) requires the cash flows in the maturity analyses to be based on the earliest period in which the entity can be required to pay.</w:t>
            </w:r>
          </w:p>
          <w:p w14:paraId="1C8507F9" w14:textId="77777777" w:rsidR="007C4E37" w:rsidRDefault="007C4E37" w:rsidP="001F50DB">
            <w:pPr>
              <w:rPr>
                <w:i/>
                <w:iCs/>
                <w:lang w:val="en-GB"/>
              </w:rPr>
            </w:pPr>
          </w:p>
          <w:p w14:paraId="35E4A9BC" w14:textId="64D787C0" w:rsidR="007C4E37" w:rsidRPr="00AB0C4E" w:rsidRDefault="007C4E37" w:rsidP="001F50DB">
            <w:pPr>
              <w:rPr>
                <w:lang w:val="en-GB"/>
              </w:rPr>
            </w:pPr>
            <w:r>
              <w:rPr>
                <w:i/>
                <w:iCs/>
                <w:lang w:val="en-GB"/>
              </w:rPr>
              <w:t>Disclosure about the waiver obtained on 15 February 2021 would be disclosed as a non-adjusting post balance sheet event in accordance with the requirements of IAS 10.</w:t>
            </w:r>
          </w:p>
        </w:tc>
      </w:tr>
    </w:tbl>
    <w:p w14:paraId="7F37FC38" w14:textId="4DF7378D" w:rsidR="006111BD" w:rsidRDefault="006111BD" w:rsidP="006E22AC">
      <w:pPr>
        <w:rPr>
          <w:lang w:val="en-GB"/>
        </w:rPr>
      </w:pPr>
    </w:p>
    <w:p w14:paraId="201B00A1" w14:textId="65678639" w:rsidR="00FF1DFF" w:rsidRDefault="00FF1DFF" w:rsidP="006E22AC">
      <w:pPr>
        <w:rPr>
          <w:lang w:val="en-GB"/>
        </w:rPr>
      </w:pPr>
    </w:p>
    <w:p w14:paraId="4F951B63" w14:textId="7E9848D1" w:rsidR="00FF1DFF" w:rsidRDefault="00FF1DFF" w:rsidP="006E22AC">
      <w:pPr>
        <w:rPr>
          <w:lang w:val="en-GB"/>
        </w:rPr>
      </w:pPr>
      <w:r>
        <w:rPr>
          <w:lang w:val="en-GB"/>
        </w:rPr>
        <w:br w:type="page"/>
      </w:r>
    </w:p>
    <w:p w14:paraId="332E673F" w14:textId="6BA0F88F" w:rsidR="00FF1DFF" w:rsidRPr="00AB0C4E" w:rsidRDefault="00FF1DFF" w:rsidP="00E34B15">
      <w:pPr>
        <w:pStyle w:val="2kopBDO"/>
        <w:rPr>
          <w:lang w:val="en-GB"/>
        </w:rPr>
      </w:pPr>
      <w:r w:rsidRPr="00AB0C4E">
        <w:rPr>
          <w:lang w:val="en-GB"/>
        </w:rPr>
        <w:lastRenderedPageBreak/>
        <w:t xml:space="preserve">B.2 – BANK COVENANTS </w:t>
      </w:r>
      <w:r>
        <w:rPr>
          <w:lang w:val="en-GB"/>
        </w:rPr>
        <w:t>(continued)</w:t>
      </w:r>
    </w:p>
    <w:tbl>
      <w:tblPr>
        <w:tblStyle w:val="TableGrid"/>
        <w:tblW w:w="13993" w:type="dxa"/>
        <w:tblLook w:val="04A0" w:firstRow="1" w:lastRow="0" w:firstColumn="1" w:lastColumn="0" w:noHBand="0" w:noVBand="1"/>
      </w:tblPr>
      <w:tblGrid>
        <w:gridCol w:w="1469"/>
        <w:gridCol w:w="12524"/>
      </w:tblGrid>
      <w:tr w:rsidR="000C1E9D" w:rsidRPr="00AB0C4E" w14:paraId="7657F6A2" w14:textId="77777777" w:rsidTr="001F50DB">
        <w:tc>
          <w:tcPr>
            <w:tcW w:w="13993" w:type="dxa"/>
            <w:gridSpan w:val="2"/>
            <w:shd w:val="clear" w:color="auto" w:fill="218F8B" w:themeFill="background2"/>
          </w:tcPr>
          <w:p w14:paraId="619057DF" w14:textId="5C06954A" w:rsidR="000C1E9D" w:rsidRPr="00AB0C4E" w:rsidRDefault="000C1E9D" w:rsidP="001F50DB">
            <w:pPr>
              <w:rPr>
                <w:color w:val="FFFFFF" w:themeColor="background1"/>
                <w:lang w:val="en-GB"/>
              </w:rPr>
            </w:pPr>
            <w:r w:rsidRPr="00AB0C4E">
              <w:rPr>
                <w:color w:val="FFFFFF" w:themeColor="background1"/>
                <w:lang w:val="en-GB"/>
              </w:rPr>
              <w:t>B.</w:t>
            </w:r>
            <w:r w:rsidR="006F6F90" w:rsidRPr="00AB0C4E">
              <w:rPr>
                <w:color w:val="FFFFFF" w:themeColor="background1"/>
                <w:lang w:val="en-GB"/>
              </w:rPr>
              <w:t>2</w:t>
            </w:r>
            <w:r w:rsidRPr="00AB0C4E">
              <w:rPr>
                <w:color w:val="FFFFFF" w:themeColor="background1"/>
                <w:lang w:val="en-GB"/>
              </w:rPr>
              <w:t>(</w:t>
            </w:r>
            <w:r w:rsidR="006F6F90" w:rsidRPr="00AB0C4E">
              <w:rPr>
                <w:color w:val="FFFFFF" w:themeColor="background1"/>
                <w:lang w:val="en-GB"/>
              </w:rPr>
              <w:t>c</w:t>
            </w:r>
            <w:r w:rsidRPr="00AB0C4E">
              <w:rPr>
                <w:color w:val="FFFFFF" w:themeColor="background1"/>
                <w:lang w:val="en-GB"/>
              </w:rPr>
              <w:t xml:space="preserve">) – </w:t>
            </w:r>
            <w:r w:rsidR="0051703B" w:rsidRPr="00AB0C4E">
              <w:rPr>
                <w:color w:val="FFFFFF" w:themeColor="background1"/>
                <w:lang w:val="en-GB"/>
              </w:rPr>
              <w:t xml:space="preserve">bank covenant is expected to be violated as at period </w:t>
            </w:r>
            <w:r w:rsidR="001B013E" w:rsidRPr="00AB0C4E">
              <w:rPr>
                <w:color w:val="FFFFFF" w:themeColor="background1"/>
                <w:lang w:val="en-GB"/>
              </w:rPr>
              <w:t>end;</w:t>
            </w:r>
            <w:r w:rsidR="0051703B" w:rsidRPr="00AB0C4E">
              <w:rPr>
                <w:color w:val="FFFFFF" w:themeColor="background1"/>
                <w:lang w:val="en-GB"/>
              </w:rPr>
              <w:t xml:space="preserve"> however, a waiver is obtained before period end. </w:t>
            </w:r>
          </w:p>
          <w:p w14:paraId="7987F786" w14:textId="77777777" w:rsidR="000C1E9D" w:rsidRPr="00AB0C4E" w:rsidRDefault="000C1E9D" w:rsidP="001F50DB">
            <w:pPr>
              <w:rPr>
                <w:color w:val="FFFFFF" w:themeColor="background1"/>
                <w:lang w:val="en-GB"/>
              </w:rPr>
            </w:pPr>
          </w:p>
          <w:p w14:paraId="702FD6FF" w14:textId="4617C719" w:rsidR="000C1E9D" w:rsidRPr="00AB0C4E" w:rsidRDefault="000C1E9D" w:rsidP="001F50DB">
            <w:pPr>
              <w:rPr>
                <w:color w:val="FFFFFF" w:themeColor="background1"/>
                <w:lang w:val="en-GB"/>
              </w:rPr>
            </w:pPr>
            <w:r w:rsidRPr="00AB0C4E">
              <w:rPr>
                <w:color w:val="FFFFFF" w:themeColor="background1"/>
                <w:lang w:val="en-GB"/>
              </w:rPr>
              <w:t>Additional information:</w:t>
            </w:r>
            <w:r w:rsidR="00413421" w:rsidRPr="00AB0C4E">
              <w:rPr>
                <w:color w:val="FFFFFF" w:themeColor="background1"/>
                <w:lang w:val="en-GB"/>
              </w:rPr>
              <w:t xml:space="preserve"> same fact pattern as B.2(a), except management of Z Layout contacts its borrower on 15 December 2020 and informs them that they expect to not be in compliance with the debt to equity covenant as at 31 December 2020. On 20 December 2020, Z Layout’s borrower waives the covenant as at 31 December 2020. </w:t>
            </w:r>
          </w:p>
        </w:tc>
      </w:tr>
      <w:tr w:rsidR="000C1E9D" w:rsidRPr="00AB0C4E" w14:paraId="7BD2CA6C" w14:textId="77777777" w:rsidTr="001F50DB">
        <w:tc>
          <w:tcPr>
            <w:tcW w:w="1469" w:type="dxa"/>
            <w:shd w:val="clear" w:color="auto" w:fill="657C91" w:themeFill="accent4"/>
          </w:tcPr>
          <w:p w14:paraId="279DAAC0" w14:textId="77777777" w:rsidR="000C1E9D" w:rsidRPr="00AB0C4E" w:rsidRDefault="000C1E9D" w:rsidP="001F50DB">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66AC5200" w14:textId="77777777" w:rsidR="000C1E9D" w:rsidRPr="00AB0C4E" w:rsidRDefault="000C1E9D" w:rsidP="001F50DB">
            <w:pPr>
              <w:rPr>
                <w:color w:val="FFFFFF" w:themeColor="background1"/>
                <w:lang w:val="en-GB"/>
              </w:rPr>
            </w:pPr>
            <w:r w:rsidRPr="00AB0C4E">
              <w:rPr>
                <w:color w:val="FFFFFF" w:themeColor="background1"/>
                <w:lang w:val="en-GB"/>
              </w:rPr>
              <w:t xml:space="preserve">Illustrative disclosure </w:t>
            </w:r>
          </w:p>
        </w:tc>
      </w:tr>
      <w:tr w:rsidR="000C1E9D" w:rsidRPr="00AB0C4E" w14:paraId="12079F19" w14:textId="77777777" w:rsidTr="001F50DB">
        <w:tc>
          <w:tcPr>
            <w:tcW w:w="1469" w:type="dxa"/>
            <w:shd w:val="clear" w:color="auto" w:fill="FFFFFF" w:themeFill="background1"/>
          </w:tcPr>
          <w:p w14:paraId="60AC9E2C" w14:textId="70069E92" w:rsidR="000C1E9D" w:rsidRPr="00AB0C4E" w:rsidRDefault="00664D7E" w:rsidP="001F50DB">
            <w:pPr>
              <w:jc w:val="right"/>
              <w:rPr>
                <w:lang w:val="en-GB"/>
              </w:rPr>
            </w:pPr>
            <w:r w:rsidRPr="00AB0C4E">
              <w:rPr>
                <w:lang w:val="en-GB"/>
              </w:rPr>
              <w:t>N/A – see analysis</w:t>
            </w:r>
          </w:p>
        </w:tc>
        <w:tc>
          <w:tcPr>
            <w:tcW w:w="12524" w:type="dxa"/>
            <w:shd w:val="clear" w:color="auto" w:fill="FFFFFF" w:themeFill="background1"/>
          </w:tcPr>
          <w:p w14:paraId="593CF173" w14:textId="0EC13729" w:rsidR="000C1E9D" w:rsidRPr="00AB0C4E" w:rsidRDefault="00664D7E" w:rsidP="001F50DB">
            <w:pPr>
              <w:rPr>
                <w:lang w:val="en-GB"/>
              </w:rPr>
            </w:pPr>
            <w:r w:rsidRPr="00AB0C4E">
              <w:rPr>
                <w:lang w:val="en-GB"/>
              </w:rPr>
              <w:t>No disclosure required.</w:t>
            </w:r>
          </w:p>
        </w:tc>
      </w:tr>
      <w:tr w:rsidR="000C1E9D" w:rsidRPr="00AB0C4E" w14:paraId="7C961F27" w14:textId="77777777" w:rsidTr="001F50DB">
        <w:tc>
          <w:tcPr>
            <w:tcW w:w="1469" w:type="dxa"/>
            <w:shd w:val="clear" w:color="auto" w:fill="FFFFFF" w:themeFill="background1"/>
          </w:tcPr>
          <w:p w14:paraId="496F3F26" w14:textId="77777777" w:rsidR="000C1E9D" w:rsidRPr="00AB0C4E" w:rsidRDefault="000C1E9D" w:rsidP="001F50DB">
            <w:pPr>
              <w:jc w:val="right"/>
              <w:rPr>
                <w:lang w:val="en-GB"/>
              </w:rPr>
            </w:pPr>
          </w:p>
        </w:tc>
        <w:tc>
          <w:tcPr>
            <w:tcW w:w="12524" w:type="dxa"/>
            <w:shd w:val="clear" w:color="auto" w:fill="FFFFFF" w:themeFill="background1"/>
          </w:tcPr>
          <w:p w14:paraId="60AF504C" w14:textId="1F89FCBC" w:rsidR="000C1E9D" w:rsidRPr="00AB0C4E" w:rsidRDefault="000C1E9D" w:rsidP="001F50DB">
            <w:pPr>
              <w:rPr>
                <w:i/>
                <w:iCs/>
                <w:lang w:val="en-GB"/>
              </w:rPr>
            </w:pPr>
            <w:r w:rsidRPr="00AB0C4E">
              <w:rPr>
                <w:i/>
                <w:iCs/>
                <w:lang w:val="en-GB"/>
              </w:rPr>
              <w:t xml:space="preserve">Analysis: </w:t>
            </w:r>
            <w:r w:rsidR="00AF7B49" w:rsidRPr="00AB0C4E">
              <w:rPr>
                <w:i/>
                <w:iCs/>
                <w:lang w:val="en-GB"/>
              </w:rPr>
              <w:t xml:space="preserve">as the covenant was waived prior to 31 December 2020, Z Layout had an unconditional right to defer settlement of the liability for at least 12 months, therefore, the loan is classified as non-current. </w:t>
            </w:r>
            <w:r w:rsidR="00664D7E" w:rsidRPr="00AB0C4E">
              <w:rPr>
                <w:i/>
                <w:iCs/>
                <w:lang w:val="en-GB"/>
              </w:rPr>
              <w:t xml:space="preserve">As the violation of the covenant was remedied before the end of the reporting period, IFRS 7.19 does not require the disclosures illustrated in B.2(a) and (b) above. In practice, many entities voluntarily disclose covenants being waived and/or violations being remedied prior to a period end as such disclosures may be seen as desirable to financial statement users. </w:t>
            </w:r>
          </w:p>
          <w:p w14:paraId="15E36D1B" w14:textId="77777777" w:rsidR="00AF7B49" w:rsidRPr="00AB0C4E" w:rsidRDefault="00AF7B49" w:rsidP="001F50DB">
            <w:pPr>
              <w:rPr>
                <w:lang w:val="en-GB"/>
              </w:rPr>
            </w:pPr>
          </w:p>
          <w:p w14:paraId="4BD67011" w14:textId="37E1DC06" w:rsidR="00AF7B49" w:rsidRPr="00AB0C4E" w:rsidRDefault="00AF7B49" w:rsidP="001F50DB">
            <w:pPr>
              <w:rPr>
                <w:lang w:val="en-GB"/>
              </w:rPr>
            </w:pPr>
            <w:r w:rsidRPr="00AB0C4E">
              <w:rPr>
                <w:i/>
                <w:iCs/>
                <w:lang w:val="en-GB"/>
              </w:rPr>
              <w:t xml:space="preserve">In preparing its maturity analyses for financial liabilities as required by IFRS 7.39(a) and (b), Z Layout would </w:t>
            </w:r>
            <w:r w:rsidR="00664D7E" w:rsidRPr="00AB0C4E">
              <w:rPr>
                <w:i/>
                <w:iCs/>
                <w:lang w:val="en-GB"/>
              </w:rPr>
              <w:t>present the contractual cash flows based on normal repayment terms of the loan</w:t>
            </w:r>
            <w:r w:rsidRPr="00AB0C4E">
              <w:rPr>
                <w:i/>
                <w:iCs/>
                <w:lang w:val="en-GB"/>
              </w:rPr>
              <w:t>. This is because IFRS 7.B11C(a) requires the cash flows in the maturity analyses to be based on the earliest period in which the entity can be required to pay</w:t>
            </w:r>
            <w:r w:rsidR="00664D7E" w:rsidRPr="00AB0C4E">
              <w:rPr>
                <w:i/>
                <w:iCs/>
                <w:lang w:val="en-GB"/>
              </w:rPr>
              <w:t xml:space="preserve"> and since the bank waived its right to demand repayment relating to the covenant violation, </w:t>
            </w:r>
            <w:r w:rsidR="00AE5DB3" w:rsidRPr="00AB0C4E">
              <w:rPr>
                <w:i/>
                <w:iCs/>
                <w:lang w:val="en-GB"/>
              </w:rPr>
              <w:t>the contractual repayment terms of the loan represent the earliest period where repayment ma</w:t>
            </w:r>
            <w:r w:rsidR="00310D5E" w:rsidRPr="00AB0C4E">
              <w:rPr>
                <w:i/>
                <w:iCs/>
                <w:lang w:val="en-GB"/>
              </w:rPr>
              <w:t>y occur</w:t>
            </w:r>
            <w:r w:rsidR="00827CF5" w:rsidRPr="00AB0C4E">
              <w:rPr>
                <w:i/>
                <w:iCs/>
                <w:lang w:val="en-GB"/>
              </w:rPr>
              <w:t xml:space="preserve"> based on conditions as at 31 December 2020</w:t>
            </w:r>
            <w:r w:rsidRPr="00AB0C4E">
              <w:rPr>
                <w:i/>
                <w:iCs/>
                <w:lang w:val="en-GB"/>
              </w:rPr>
              <w:t>.</w:t>
            </w:r>
          </w:p>
        </w:tc>
      </w:tr>
    </w:tbl>
    <w:p w14:paraId="60E7EB30" w14:textId="0CF40E5B" w:rsidR="00FF1DFF" w:rsidRDefault="00FF1DFF" w:rsidP="006E22AC">
      <w:pPr>
        <w:rPr>
          <w:lang w:val="en-GB"/>
        </w:rPr>
      </w:pPr>
      <w:r>
        <w:rPr>
          <w:lang w:val="en-GB"/>
        </w:rPr>
        <w:br w:type="page"/>
      </w:r>
    </w:p>
    <w:p w14:paraId="047740AE" w14:textId="18EA53D4" w:rsidR="000C1E9D" w:rsidRPr="00AB0C4E" w:rsidRDefault="00802893" w:rsidP="00AB0097">
      <w:pPr>
        <w:pStyle w:val="2kopBDO"/>
        <w:rPr>
          <w:lang w:val="en-GB"/>
        </w:rPr>
      </w:pPr>
      <w:bookmarkStart w:id="7" w:name="B3"/>
      <w:r w:rsidRPr="00AB0C4E">
        <w:rPr>
          <w:lang w:val="en-GB"/>
        </w:rPr>
        <w:lastRenderedPageBreak/>
        <w:t xml:space="preserve">B.3 </w:t>
      </w:r>
      <w:bookmarkEnd w:id="7"/>
      <w:r w:rsidRPr="00AB0C4E">
        <w:rPr>
          <w:lang w:val="en-GB"/>
        </w:rPr>
        <w:t>– ADDITIONAL LINE ITEMS</w:t>
      </w:r>
    </w:p>
    <w:tbl>
      <w:tblPr>
        <w:tblStyle w:val="TableGrid"/>
        <w:tblW w:w="13993" w:type="dxa"/>
        <w:tblLook w:val="04A0" w:firstRow="1" w:lastRow="0" w:firstColumn="1" w:lastColumn="0" w:noHBand="0" w:noVBand="1"/>
      </w:tblPr>
      <w:tblGrid>
        <w:gridCol w:w="1469"/>
        <w:gridCol w:w="12524"/>
      </w:tblGrid>
      <w:tr w:rsidR="000C1E9D" w:rsidRPr="00AB0C4E" w14:paraId="2DF7D07B" w14:textId="77777777" w:rsidTr="001F50DB">
        <w:tc>
          <w:tcPr>
            <w:tcW w:w="13993" w:type="dxa"/>
            <w:gridSpan w:val="2"/>
            <w:shd w:val="clear" w:color="auto" w:fill="218F8B" w:themeFill="background2"/>
          </w:tcPr>
          <w:p w14:paraId="67ED295E" w14:textId="0C781017" w:rsidR="000C1E9D" w:rsidRPr="00AB0C4E" w:rsidRDefault="000C1E9D" w:rsidP="001F50DB">
            <w:pPr>
              <w:rPr>
                <w:color w:val="FFFFFF" w:themeColor="background1"/>
                <w:lang w:val="en-GB"/>
              </w:rPr>
            </w:pPr>
            <w:r w:rsidRPr="00AB0C4E">
              <w:rPr>
                <w:color w:val="FFFFFF" w:themeColor="background1"/>
                <w:lang w:val="en-GB"/>
              </w:rPr>
              <w:t>B.</w:t>
            </w:r>
            <w:r w:rsidR="009F575D" w:rsidRPr="00AB0C4E">
              <w:rPr>
                <w:color w:val="FFFFFF" w:themeColor="background1"/>
                <w:lang w:val="en-GB"/>
              </w:rPr>
              <w:t>3</w:t>
            </w:r>
            <w:r w:rsidRPr="00AB0C4E">
              <w:rPr>
                <w:color w:val="FFFFFF" w:themeColor="background1"/>
                <w:lang w:val="en-GB"/>
              </w:rPr>
              <w:t>(</w:t>
            </w:r>
            <w:r w:rsidR="001F50DB" w:rsidRPr="00AB0C4E">
              <w:rPr>
                <w:color w:val="FFFFFF" w:themeColor="background1"/>
                <w:lang w:val="en-GB"/>
              </w:rPr>
              <w:t>a</w:t>
            </w:r>
            <w:r w:rsidRPr="00AB0C4E">
              <w:rPr>
                <w:color w:val="FFFFFF" w:themeColor="background1"/>
                <w:lang w:val="en-GB"/>
              </w:rPr>
              <w:t>) –</w:t>
            </w:r>
            <w:r w:rsidR="009F575D" w:rsidRPr="00AB0C4E">
              <w:rPr>
                <w:color w:val="FFFFFF" w:themeColor="background1"/>
                <w:lang w:val="en-GB"/>
              </w:rPr>
              <w:t xml:space="preserve"> </w:t>
            </w:r>
            <w:r w:rsidR="001F50DB" w:rsidRPr="00AB0C4E">
              <w:rPr>
                <w:color w:val="FFFFFF" w:themeColor="background1"/>
                <w:lang w:val="en-GB"/>
              </w:rPr>
              <w:t>Incremental increases in expenses due to COVID-19</w:t>
            </w:r>
            <w:r w:rsidR="0082718B" w:rsidRPr="00AB0C4E">
              <w:rPr>
                <w:color w:val="FFFFFF" w:themeColor="background1"/>
                <w:lang w:val="en-GB"/>
              </w:rPr>
              <w:t xml:space="preserve"> and presentation outside of operating profit </w:t>
            </w:r>
          </w:p>
          <w:p w14:paraId="1058E15B" w14:textId="77777777" w:rsidR="000C1E9D" w:rsidRPr="00AB0C4E" w:rsidRDefault="000C1E9D" w:rsidP="001F50DB">
            <w:pPr>
              <w:rPr>
                <w:color w:val="FFFFFF" w:themeColor="background1"/>
                <w:lang w:val="en-GB"/>
              </w:rPr>
            </w:pPr>
          </w:p>
          <w:p w14:paraId="784AEA3F" w14:textId="77777777" w:rsidR="000F7C62" w:rsidRPr="00AB0C4E" w:rsidRDefault="000C1E9D" w:rsidP="001F50DB">
            <w:pPr>
              <w:rPr>
                <w:color w:val="FFFFFF" w:themeColor="background1"/>
                <w:lang w:val="en-GB"/>
              </w:rPr>
            </w:pPr>
            <w:r w:rsidRPr="00AB0C4E">
              <w:rPr>
                <w:color w:val="FFFFFF" w:themeColor="background1"/>
                <w:lang w:val="en-GB"/>
              </w:rPr>
              <w:t>Additional information:</w:t>
            </w:r>
            <w:r w:rsidR="007B63AD" w:rsidRPr="00AB0C4E">
              <w:rPr>
                <w:color w:val="FFFFFF" w:themeColor="background1"/>
                <w:lang w:val="en-GB"/>
              </w:rPr>
              <w:t xml:space="preserve"> during 2020, Z Layout incurred an additional CU750,000 of expenses it would not have incurred if not for the pandemic. These costs include</w:t>
            </w:r>
            <w:r w:rsidR="000F7C62" w:rsidRPr="00AB0C4E">
              <w:rPr>
                <w:color w:val="FFFFFF" w:themeColor="background1"/>
                <w:lang w:val="en-GB"/>
              </w:rPr>
              <w:t>:</w:t>
            </w:r>
          </w:p>
          <w:p w14:paraId="202C18B0" w14:textId="77777777" w:rsidR="000F7C62" w:rsidRPr="00AB0C4E" w:rsidRDefault="000F7C62" w:rsidP="001F50DB">
            <w:pPr>
              <w:rPr>
                <w:color w:val="FFFFFF" w:themeColor="background1"/>
                <w:lang w:val="en-GB"/>
              </w:rPr>
            </w:pPr>
          </w:p>
          <w:p w14:paraId="5433A52C" w14:textId="76E176CA" w:rsidR="00AB5E65" w:rsidRPr="00AB0C4E" w:rsidRDefault="00AB5E65" w:rsidP="000F7C62">
            <w:pPr>
              <w:pStyle w:val="ListParagraph"/>
              <w:numPr>
                <w:ilvl w:val="0"/>
                <w:numId w:val="27"/>
              </w:numPr>
              <w:rPr>
                <w:color w:val="FFFFFF" w:themeColor="background1"/>
              </w:rPr>
            </w:pPr>
            <w:r w:rsidRPr="00AB0C4E">
              <w:rPr>
                <w:color w:val="FFFFFF" w:themeColor="background1"/>
              </w:rPr>
              <w:t>P</w:t>
            </w:r>
            <w:r w:rsidR="007B63AD" w:rsidRPr="00AB0C4E">
              <w:rPr>
                <w:color w:val="FFFFFF" w:themeColor="background1"/>
              </w:rPr>
              <w:t>ersonal protective equipment for employees</w:t>
            </w:r>
            <w:r w:rsidR="00BF26D5" w:rsidRPr="00AB0C4E">
              <w:rPr>
                <w:color w:val="FFFFFF" w:themeColor="background1"/>
              </w:rPr>
              <w:t xml:space="preserve"> (‘PPE’)</w:t>
            </w:r>
            <w:r w:rsidRPr="00AB0C4E">
              <w:rPr>
                <w:color w:val="FFFFFF" w:themeColor="background1"/>
              </w:rPr>
              <w:t>;</w:t>
            </w:r>
          </w:p>
          <w:p w14:paraId="2D18020C" w14:textId="7802B64B" w:rsidR="00AB5E65" w:rsidRPr="00AB0C4E" w:rsidRDefault="00AB5E65" w:rsidP="000F7C62">
            <w:pPr>
              <w:pStyle w:val="ListParagraph"/>
              <w:numPr>
                <w:ilvl w:val="0"/>
                <w:numId w:val="27"/>
              </w:numPr>
              <w:rPr>
                <w:color w:val="FFFFFF" w:themeColor="background1"/>
              </w:rPr>
            </w:pPr>
            <w:r w:rsidRPr="00AB0C4E">
              <w:rPr>
                <w:color w:val="FFFFFF" w:themeColor="background1"/>
              </w:rPr>
              <w:t>H</w:t>
            </w:r>
            <w:r w:rsidR="007B63AD" w:rsidRPr="00AB0C4E">
              <w:rPr>
                <w:color w:val="FFFFFF" w:themeColor="background1"/>
              </w:rPr>
              <w:t xml:space="preserve">and sanitiser, </w:t>
            </w:r>
            <w:r w:rsidR="00F7026C" w:rsidRPr="00AB0C4E">
              <w:rPr>
                <w:color w:val="FFFFFF" w:themeColor="background1"/>
              </w:rPr>
              <w:t xml:space="preserve">minor </w:t>
            </w:r>
            <w:r w:rsidR="007B63AD" w:rsidRPr="00AB0C4E">
              <w:rPr>
                <w:color w:val="FFFFFF" w:themeColor="background1"/>
              </w:rPr>
              <w:t>renovations to its offices to permit social distancing</w:t>
            </w:r>
            <w:r w:rsidRPr="00AB0C4E">
              <w:rPr>
                <w:color w:val="FFFFFF" w:themeColor="background1"/>
              </w:rPr>
              <w:t>;</w:t>
            </w:r>
          </w:p>
          <w:p w14:paraId="3C050EB3" w14:textId="7F22D9F4" w:rsidR="00AB5E65" w:rsidRPr="00AB0C4E" w:rsidRDefault="007B63AD" w:rsidP="000F7C62">
            <w:pPr>
              <w:pStyle w:val="ListParagraph"/>
              <w:numPr>
                <w:ilvl w:val="0"/>
                <w:numId w:val="27"/>
              </w:numPr>
              <w:rPr>
                <w:color w:val="FFFFFF" w:themeColor="background1"/>
              </w:rPr>
            </w:pPr>
            <w:r w:rsidRPr="00AB0C4E">
              <w:rPr>
                <w:color w:val="FFFFFF" w:themeColor="background1"/>
              </w:rPr>
              <w:t>IT costs to enable and promote working from home arrangements</w:t>
            </w:r>
            <w:r w:rsidR="00AB5E65" w:rsidRPr="00AB0C4E">
              <w:rPr>
                <w:color w:val="FFFFFF" w:themeColor="background1"/>
              </w:rPr>
              <w:t>; and</w:t>
            </w:r>
          </w:p>
          <w:p w14:paraId="2809205C" w14:textId="12D2DEA3" w:rsidR="00AB5E65" w:rsidRPr="00AB0C4E" w:rsidRDefault="00AB5E65" w:rsidP="000F7C62">
            <w:pPr>
              <w:pStyle w:val="ListParagraph"/>
              <w:numPr>
                <w:ilvl w:val="0"/>
                <w:numId w:val="27"/>
              </w:numPr>
              <w:rPr>
                <w:color w:val="FFFFFF" w:themeColor="background1"/>
              </w:rPr>
            </w:pPr>
            <w:r w:rsidRPr="00AB0C4E">
              <w:rPr>
                <w:color w:val="FFFFFF" w:themeColor="background1"/>
              </w:rPr>
              <w:t xml:space="preserve">Salaries of employees who were unable to perform their duties (e.g. in person sales representatives), but remained on staff, standing ready to return to work. </w:t>
            </w:r>
          </w:p>
          <w:p w14:paraId="1204E28B" w14:textId="77777777" w:rsidR="00AB5E65" w:rsidRPr="00AB0C4E" w:rsidRDefault="00AB5E65" w:rsidP="00AB5E65">
            <w:pPr>
              <w:rPr>
                <w:color w:val="FFFFFF" w:themeColor="background1"/>
                <w:lang w:val="en-GB"/>
              </w:rPr>
            </w:pPr>
          </w:p>
          <w:p w14:paraId="3CCA0A3E" w14:textId="013BFDE0" w:rsidR="000C1E9D" w:rsidRPr="00AB0C4E" w:rsidRDefault="007B63AD" w:rsidP="00AB5E65">
            <w:pPr>
              <w:rPr>
                <w:color w:val="FFFFFF" w:themeColor="background1"/>
                <w:lang w:val="en-GB"/>
              </w:rPr>
            </w:pPr>
            <w:r w:rsidRPr="00AB0C4E">
              <w:rPr>
                <w:color w:val="FFFFFF" w:themeColor="background1"/>
                <w:lang w:val="en-GB"/>
              </w:rPr>
              <w:t xml:space="preserve">Management proposes presenting these expenses separately in the statement of profit or loss under an additional line item labelled ‘COVID-19 expenditures’. This line item would appear </w:t>
            </w:r>
            <w:r w:rsidR="007C4E37">
              <w:rPr>
                <w:color w:val="FFFFFF" w:themeColor="background1"/>
                <w:lang w:val="en-GB"/>
              </w:rPr>
              <w:t>above</w:t>
            </w:r>
            <w:r w:rsidR="00BF7867">
              <w:rPr>
                <w:color w:val="FFFFFF" w:themeColor="background1"/>
                <w:lang w:val="en-GB"/>
              </w:rPr>
              <w:t xml:space="preserve"> </w:t>
            </w:r>
            <w:r w:rsidRPr="00AB0C4E">
              <w:rPr>
                <w:color w:val="FFFFFF" w:themeColor="background1"/>
                <w:lang w:val="en-GB"/>
              </w:rPr>
              <w:t xml:space="preserve">operating profit, as these expenses </w:t>
            </w:r>
            <w:r w:rsidR="007C4E37">
              <w:rPr>
                <w:color w:val="FFFFFF" w:themeColor="background1"/>
                <w:lang w:val="en-GB"/>
              </w:rPr>
              <w:t>still relate to operating activities</w:t>
            </w:r>
            <w:r w:rsidRPr="00AB0C4E">
              <w:rPr>
                <w:color w:val="FFFFFF" w:themeColor="background1"/>
                <w:lang w:val="en-GB"/>
              </w:rPr>
              <w:t xml:space="preserve">. </w:t>
            </w:r>
          </w:p>
        </w:tc>
      </w:tr>
      <w:tr w:rsidR="000C1E9D" w:rsidRPr="00AB0C4E" w14:paraId="66E20ECA" w14:textId="77777777" w:rsidTr="001F50DB">
        <w:tc>
          <w:tcPr>
            <w:tcW w:w="1469" w:type="dxa"/>
            <w:shd w:val="clear" w:color="auto" w:fill="657C91" w:themeFill="accent4"/>
          </w:tcPr>
          <w:p w14:paraId="1705BE00" w14:textId="77777777" w:rsidR="000C1E9D" w:rsidRPr="00AB0C4E" w:rsidRDefault="000C1E9D" w:rsidP="001F50DB">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5256CC22" w14:textId="77777777" w:rsidR="000C1E9D" w:rsidRPr="00AB0C4E" w:rsidRDefault="000C1E9D" w:rsidP="001F50DB">
            <w:pPr>
              <w:rPr>
                <w:color w:val="FFFFFF" w:themeColor="background1"/>
                <w:lang w:val="en-GB"/>
              </w:rPr>
            </w:pPr>
            <w:r w:rsidRPr="00AB0C4E">
              <w:rPr>
                <w:color w:val="FFFFFF" w:themeColor="background1"/>
                <w:lang w:val="en-GB"/>
              </w:rPr>
              <w:t xml:space="preserve">Illustrative disclosure </w:t>
            </w:r>
          </w:p>
        </w:tc>
      </w:tr>
      <w:tr w:rsidR="000C1E9D" w:rsidRPr="00AB0C4E" w14:paraId="0C734C2F" w14:textId="77777777" w:rsidTr="001F50DB">
        <w:tc>
          <w:tcPr>
            <w:tcW w:w="1469" w:type="dxa"/>
            <w:shd w:val="clear" w:color="auto" w:fill="FFFFFF" w:themeFill="background1"/>
          </w:tcPr>
          <w:p w14:paraId="095E3E71" w14:textId="77777777" w:rsidR="000C1E9D" w:rsidRPr="00AB0C4E" w:rsidRDefault="000C1E9D" w:rsidP="001F50DB">
            <w:pPr>
              <w:jc w:val="right"/>
              <w:rPr>
                <w:lang w:val="en-GB"/>
              </w:rPr>
            </w:pPr>
          </w:p>
        </w:tc>
        <w:tc>
          <w:tcPr>
            <w:tcW w:w="12524" w:type="dxa"/>
            <w:shd w:val="clear" w:color="auto" w:fill="FFFFFF" w:themeFill="background1"/>
          </w:tcPr>
          <w:p w14:paraId="7F8E2D78" w14:textId="1A65517F" w:rsidR="000C1E9D" w:rsidRPr="00AB0C4E" w:rsidRDefault="00A10EF6" w:rsidP="001F50DB">
            <w:pPr>
              <w:rPr>
                <w:lang w:val="en-GB"/>
              </w:rPr>
            </w:pPr>
            <w:r w:rsidRPr="00AB0C4E">
              <w:rPr>
                <w:lang w:val="en-GB"/>
              </w:rPr>
              <w:t xml:space="preserve">See analysis below. </w:t>
            </w:r>
          </w:p>
        </w:tc>
      </w:tr>
      <w:tr w:rsidR="000C1E9D" w:rsidRPr="00AB0C4E" w14:paraId="27893C45" w14:textId="77777777" w:rsidTr="001F50DB">
        <w:tc>
          <w:tcPr>
            <w:tcW w:w="1469" w:type="dxa"/>
            <w:shd w:val="clear" w:color="auto" w:fill="FFFFFF" w:themeFill="background1"/>
          </w:tcPr>
          <w:p w14:paraId="3E3E56A7" w14:textId="77777777" w:rsidR="000C1E9D" w:rsidRPr="00AB0C4E" w:rsidRDefault="000C1E9D" w:rsidP="001F50DB">
            <w:pPr>
              <w:jc w:val="right"/>
              <w:rPr>
                <w:lang w:val="en-GB"/>
              </w:rPr>
            </w:pPr>
          </w:p>
        </w:tc>
        <w:tc>
          <w:tcPr>
            <w:tcW w:w="12524" w:type="dxa"/>
            <w:shd w:val="clear" w:color="auto" w:fill="FFFFFF" w:themeFill="background1"/>
          </w:tcPr>
          <w:p w14:paraId="590D4523" w14:textId="77777777" w:rsidR="00BF26D5" w:rsidRPr="00AB0C4E" w:rsidRDefault="000C1E9D" w:rsidP="001F50DB">
            <w:pPr>
              <w:rPr>
                <w:i/>
                <w:iCs/>
                <w:lang w:val="en-GB"/>
              </w:rPr>
            </w:pPr>
            <w:r w:rsidRPr="00AB0C4E">
              <w:rPr>
                <w:i/>
                <w:iCs/>
                <w:lang w:val="en-GB"/>
              </w:rPr>
              <w:t xml:space="preserve">Analysis: </w:t>
            </w:r>
            <w:r w:rsidR="00A10EF6" w:rsidRPr="00AB0C4E">
              <w:rPr>
                <w:i/>
                <w:iCs/>
                <w:lang w:val="en-GB"/>
              </w:rPr>
              <w:t xml:space="preserve">entities must be cautious when considering whether additional line items and/or sub-totals may be presented in financial statements. IAS 1.85 requires additional line items, headings and sub-totals in the statement(s) of profit or loss and comprehensive income when such presentation is relevant to an understand of the entity’s financial performance. </w:t>
            </w:r>
            <w:r w:rsidR="00BF26D5" w:rsidRPr="00AB0C4E">
              <w:rPr>
                <w:i/>
                <w:iCs/>
                <w:lang w:val="en-GB"/>
              </w:rPr>
              <w:t xml:space="preserve">Entities must also consider that not all costs that they consider relating to COVID-19 may be appropriate to present separately. </w:t>
            </w:r>
          </w:p>
          <w:p w14:paraId="55D15987" w14:textId="77777777" w:rsidR="00BF26D5" w:rsidRPr="00AB0C4E" w:rsidRDefault="00BF26D5" w:rsidP="001F50DB">
            <w:pPr>
              <w:rPr>
                <w:i/>
                <w:iCs/>
                <w:lang w:val="en-GB"/>
              </w:rPr>
            </w:pPr>
          </w:p>
          <w:p w14:paraId="5EFA55F9" w14:textId="77777777" w:rsidR="00BF26D5" w:rsidRPr="00AB0C4E" w:rsidRDefault="00BF26D5" w:rsidP="001F50DB">
            <w:pPr>
              <w:rPr>
                <w:i/>
                <w:iCs/>
                <w:lang w:val="en-GB"/>
              </w:rPr>
            </w:pPr>
            <w:r w:rsidRPr="00AB0C4E">
              <w:rPr>
                <w:i/>
                <w:iCs/>
                <w:lang w:val="en-GB"/>
              </w:rPr>
              <w:t>IAS 1 requires consistent presentation in both the current and comparative periods, therefore, presentation of expenses in the current period must be accompanied by consistent presentation in the comparative period. For example, item</w:t>
            </w:r>
            <w:r w:rsidR="00F7026C" w:rsidRPr="00AB0C4E">
              <w:rPr>
                <w:i/>
                <w:iCs/>
                <w:lang w:val="en-GB"/>
              </w:rPr>
              <w:t>s</w:t>
            </w:r>
            <w:r w:rsidRPr="00AB0C4E">
              <w:rPr>
                <w:i/>
                <w:iCs/>
                <w:lang w:val="en-GB"/>
              </w:rPr>
              <w:t xml:space="preserve"> #1</w:t>
            </w:r>
            <w:r w:rsidR="00F7026C" w:rsidRPr="00AB0C4E">
              <w:rPr>
                <w:i/>
                <w:iCs/>
                <w:lang w:val="en-GB"/>
              </w:rPr>
              <w:t xml:space="preserve"> and 2</w:t>
            </w:r>
            <w:r w:rsidRPr="00AB0C4E">
              <w:rPr>
                <w:i/>
                <w:iCs/>
                <w:lang w:val="en-GB"/>
              </w:rPr>
              <w:t xml:space="preserve"> above (PPE</w:t>
            </w:r>
            <w:r w:rsidR="00F7026C" w:rsidRPr="00AB0C4E">
              <w:rPr>
                <w:i/>
                <w:iCs/>
                <w:lang w:val="en-GB"/>
              </w:rPr>
              <w:t>, hand sanitiser and minor renovations to its offices – assuming they should not be capitalised in accordance with IAS 16</w:t>
            </w:r>
            <w:r w:rsidRPr="00AB0C4E">
              <w:rPr>
                <w:i/>
                <w:iCs/>
                <w:lang w:val="en-GB"/>
              </w:rPr>
              <w:t xml:space="preserve">), may not have given rise to any similar expense in the prior period, therefore, an entity might consider presenting a ‘personal protective equipment’ expense line item if it is considered significant and </w:t>
            </w:r>
            <w:r w:rsidR="00F7026C" w:rsidRPr="00AB0C4E">
              <w:rPr>
                <w:i/>
                <w:iCs/>
                <w:lang w:val="en-GB"/>
              </w:rPr>
              <w:t xml:space="preserve">in compliance with the requirements of IAS 1.85. </w:t>
            </w:r>
          </w:p>
          <w:p w14:paraId="3E28A548" w14:textId="77777777" w:rsidR="00F7026C" w:rsidRPr="00AB0C4E" w:rsidRDefault="00F7026C" w:rsidP="001F50DB">
            <w:pPr>
              <w:rPr>
                <w:i/>
                <w:iCs/>
                <w:lang w:val="en-GB"/>
              </w:rPr>
            </w:pPr>
          </w:p>
          <w:p w14:paraId="091AC9EC" w14:textId="3013D041" w:rsidR="00F7026C" w:rsidRPr="00AB0C4E" w:rsidRDefault="00F7026C" w:rsidP="001F50DB">
            <w:pPr>
              <w:rPr>
                <w:i/>
                <w:iCs/>
                <w:lang w:val="en-GB"/>
              </w:rPr>
            </w:pPr>
            <w:r w:rsidRPr="00AB0C4E">
              <w:rPr>
                <w:i/>
                <w:iCs/>
                <w:lang w:val="en-GB"/>
              </w:rPr>
              <w:t>Item</w:t>
            </w:r>
            <w:r w:rsidR="00CB7517" w:rsidRPr="00AB0C4E">
              <w:rPr>
                <w:i/>
                <w:iCs/>
                <w:lang w:val="en-GB"/>
              </w:rPr>
              <w:t>s</w:t>
            </w:r>
            <w:r w:rsidRPr="00AB0C4E">
              <w:rPr>
                <w:i/>
                <w:iCs/>
                <w:lang w:val="en-GB"/>
              </w:rPr>
              <w:t xml:space="preserve"> #3</w:t>
            </w:r>
            <w:r w:rsidR="00CB7517" w:rsidRPr="00AB0C4E">
              <w:rPr>
                <w:i/>
                <w:iCs/>
                <w:lang w:val="en-GB"/>
              </w:rPr>
              <w:t xml:space="preserve"> and #4</w:t>
            </w:r>
            <w:r w:rsidRPr="00AB0C4E">
              <w:rPr>
                <w:i/>
                <w:iCs/>
                <w:lang w:val="en-GB"/>
              </w:rPr>
              <w:t xml:space="preserve"> (IT costs</w:t>
            </w:r>
            <w:r w:rsidR="00CB7517" w:rsidRPr="00AB0C4E">
              <w:rPr>
                <w:i/>
                <w:iCs/>
                <w:lang w:val="en-GB"/>
              </w:rPr>
              <w:t xml:space="preserve"> and idle employee costs</w:t>
            </w:r>
            <w:r w:rsidRPr="00AB0C4E">
              <w:rPr>
                <w:i/>
                <w:iCs/>
                <w:lang w:val="en-GB"/>
              </w:rPr>
              <w:t xml:space="preserve">) may be challenging to </w:t>
            </w:r>
            <w:r w:rsidR="00601C2E" w:rsidRPr="00AB0C4E">
              <w:rPr>
                <w:i/>
                <w:iCs/>
                <w:lang w:val="en-GB"/>
              </w:rPr>
              <w:t xml:space="preserve">differentiate from costs that would have been incurred regardless of the pandemic. Presenting only an incremental figure </w:t>
            </w:r>
            <w:r w:rsidR="00CB7517" w:rsidRPr="00AB0C4E">
              <w:rPr>
                <w:i/>
                <w:iCs/>
                <w:lang w:val="en-GB"/>
              </w:rPr>
              <w:t xml:space="preserve">(i.e. expenses that would not have been incurred if not for a particular set of circumstances) does not comply with the requirement of IAS 1.99 to present an analysis of expenses recognised in profit or loss using a classification based on either their nature or their function within the entity. This is because this method of presentation might result in some portion of similar expenses being presented in one line item while other amounts are recognised in a separate line item. </w:t>
            </w:r>
          </w:p>
          <w:p w14:paraId="031BD4AC" w14:textId="77777777" w:rsidR="00CB7517" w:rsidRPr="00AB0C4E" w:rsidRDefault="00CB7517" w:rsidP="001F50DB">
            <w:pPr>
              <w:rPr>
                <w:i/>
                <w:iCs/>
                <w:lang w:val="en-GB"/>
              </w:rPr>
            </w:pPr>
          </w:p>
          <w:p w14:paraId="788F2B9E" w14:textId="0ADFE82A" w:rsidR="0082718B" w:rsidRPr="00AB0C4E" w:rsidRDefault="0082718B" w:rsidP="001F50DB">
            <w:pPr>
              <w:rPr>
                <w:i/>
                <w:iCs/>
                <w:lang w:val="en-GB"/>
              </w:rPr>
            </w:pPr>
          </w:p>
        </w:tc>
      </w:tr>
    </w:tbl>
    <w:p w14:paraId="77716EB5" w14:textId="3FB2948C" w:rsidR="00A63E7C" w:rsidRDefault="00A63E7C"/>
    <w:p w14:paraId="2CFED4B3" w14:textId="18DB7B7A" w:rsidR="00A63E7C" w:rsidRPr="00AB0C4E" w:rsidRDefault="00A63E7C" w:rsidP="00A63E7C">
      <w:pPr>
        <w:pStyle w:val="2kopBDO"/>
        <w:rPr>
          <w:lang w:val="en-GB"/>
        </w:rPr>
      </w:pPr>
      <w:r w:rsidRPr="00AB0C4E">
        <w:rPr>
          <w:lang w:val="en-GB"/>
        </w:rPr>
        <w:lastRenderedPageBreak/>
        <w:t>B.3 – ADDITIONAL LINE ITEMS</w:t>
      </w:r>
      <w:r>
        <w:rPr>
          <w:lang w:val="en-GB"/>
        </w:rPr>
        <w:t xml:space="preserve"> (CONTINUED)</w:t>
      </w:r>
    </w:p>
    <w:tbl>
      <w:tblPr>
        <w:tblStyle w:val="TableGrid"/>
        <w:tblW w:w="13993" w:type="dxa"/>
        <w:tblLook w:val="04A0" w:firstRow="1" w:lastRow="0" w:firstColumn="1" w:lastColumn="0" w:noHBand="0" w:noVBand="1"/>
      </w:tblPr>
      <w:tblGrid>
        <w:gridCol w:w="1469"/>
        <w:gridCol w:w="12524"/>
      </w:tblGrid>
      <w:tr w:rsidR="00A63E7C" w:rsidRPr="00AB0C4E" w14:paraId="7149DC0A" w14:textId="77777777" w:rsidTr="004263B7">
        <w:tc>
          <w:tcPr>
            <w:tcW w:w="13993" w:type="dxa"/>
            <w:gridSpan w:val="2"/>
            <w:shd w:val="clear" w:color="auto" w:fill="218F8B" w:themeFill="background2"/>
          </w:tcPr>
          <w:p w14:paraId="43C82BEC" w14:textId="0213C4D2" w:rsidR="00A63E7C" w:rsidRPr="00AB0C4E" w:rsidRDefault="00A63E7C" w:rsidP="004263B7">
            <w:pPr>
              <w:rPr>
                <w:color w:val="FFFFFF" w:themeColor="background1"/>
                <w:lang w:val="en-GB"/>
              </w:rPr>
            </w:pPr>
            <w:r w:rsidRPr="00AB0C4E">
              <w:rPr>
                <w:color w:val="FFFFFF" w:themeColor="background1"/>
                <w:lang w:val="en-GB"/>
              </w:rPr>
              <w:t xml:space="preserve">B.3(a) – Incremental increases in expenses due to COVID-19 and presentation outside of operating profit </w:t>
            </w:r>
            <w:r>
              <w:rPr>
                <w:color w:val="FFFFFF" w:themeColor="background1"/>
                <w:lang w:val="en-GB"/>
              </w:rPr>
              <w:t>(continued)</w:t>
            </w:r>
          </w:p>
        </w:tc>
      </w:tr>
      <w:tr w:rsidR="00A63E7C" w:rsidRPr="00AB0C4E" w14:paraId="6C300324" w14:textId="77777777" w:rsidTr="004263B7">
        <w:tc>
          <w:tcPr>
            <w:tcW w:w="1469" w:type="dxa"/>
            <w:shd w:val="clear" w:color="auto" w:fill="657C91" w:themeFill="accent4"/>
          </w:tcPr>
          <w:p w14:paraId="398B6DA2" w14:textId="77777777" w:rsidR="00A63E7C" w:rsidRPr="00AB0C4E" w:rsidRDefault="00A63E7C" w:rsidP="004263B7">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34F9BF63" w14:textId="77777777" w:rsidR="00A63E7C" w:rsidRPr="00AB0C4E" w:rsidRDefault="00A63E7C" w:rsidP="004263B7">
            <w:pPr>
              <w:rPr>
                <w:color w:val="FFFFFF" w:themeColor="background1"/>
                <w:lang w:val="en-GB"/>
              </w:rPr>
            </w:pPr>
            <w:r w:rsidRPr="00AB0C4E">
              <w:rPr>
                <w:color w:val="FFFFFF" w:themeColor="background1"/>
                <w:lang w:val="en-GB"/>
              </w:rPr>
              <w:t xml:space="preserve">Illustrative disclosure </w:t>
            </w:r>
          </w:p>
        </w:tc>
      </w:tr>
      <w:tr w:rsidR="00A63E7C" w:rsidRPr="00AB0C4E" w14:paraId="55A3B998" w14:textId="77777777" w:rsidTr="001F50DB">
        <w:tc>
          <w:tcPr>
            <w:tcW w:w="1469" w:type="dxa"/>
            <w:shd w:val="clear" w:color="auto" w:fill="FFFFFF" w:themeFill="background1"/>
          </w:tcPr>
          <w:p w14:paraId="4B0D88A1" w14:textId="77777777" w:rsidR="00A63E7C" w:rsidRPr="00AB0C4E" w:rsidRDefault="00A63E7C" w:rsidP="001F50DB">
            <w:pPr>
              <w:jc w:val="right"/>
              <w:rPr>
                <w:lang w:val="en-GB"/>
              </w:rPr>
            </w:pPr>
          </w:p>
        </w:tc>
        <w:tc>
          <w:tcPr>
            <w:tcW w:w="12524" w:type="dxa"/>
            <w:shd w:val="clear" w:color="auto" w:fill="FFFFFF" w:themeFill="background1"/>
          </w:tcPr>
          <w:p w14:paraId="1688FFB0" w14:textId="77777777" w:rsidR="00A63E7C" w:rsidRPr="00AB0C4E" w:rsidRDefault="00A63E7C" w:rsidP="00A63E7C">
            <w:pPr>
              <w:rPr>
                <w:i/>
                <w:iCs/>
                <w:lang w:val="en-GB"/>
              </w:rPr>
            </w:pPr>
            <w:r w:rsidRPr="00AB0C4E">
              <w:rPr>
                <w:i/>
                <w:iCs/>
                <w:lang w:val="en-GB"/>
              </w:rPr>
              <w:t>Entities should consider whether this type of analysis may be more appropriate to include in the notes to the financial statements (IAS 1.112(c) – information that is not presented elsewhere, but is relevant to an understanding of the entity) or in management discussion and analysis, which is included with, but is separate from, the financial statements.</w:t>
            </w:r>
          </w:p>
          <w:p w14:paraId="20C5C6D3" w14:textId="77777777" w:rsidR="00A63E7C" w:rsidRPr="00AB0C4E" w:rsidRDefault="00A63E7C" w:rsidP="00A63E7C">
            <w:pPr>
              <w:rPr>
                <w:i/>
                <w:iCs/>
                <w:lang w:val="en-GB"/>
              </w:rPr>
            </w:pPr>
          </w:p>
          <w:p w14:paraId="5E6955DB" w14:textId="77777777" w:rsidR="00A63E7C" w:rsidRPr="00AB0C4E" w:rsidRDefault="00A63E7C" w:rsidP="00A63E7C">
            <w:pPr>
              <w:rPr>
                <w:i/>
                <w:iCs/>
                <w:lang w:val="en-GB"/>
              </w:rPr>
            </w:pPr>
            <w:r w:rsidRPr="00AB0C4E">
              <w:rPr>
                <w:i/>
                <w:iCs/>
                <w:lang w:val="en-GB"/>
              </w:rPr>
              <w:t xml:space="preserve">Regulators worldwide have published views relating to the effects of COVID-19 on financial statement presentation, including additional line items and sub-totals. </w:t>
            </w:r>
          </w:p>
          <w:p w14:paraId="0A0F9E29" w14:textId="77777777" w:rsidR="00A63E7C" w:rsidRPr="00AB0C4E" w:rsidRDefault="00A63E7C" w:rsidP="00A63E7C">
            <w:pPr>
              <w:rPr>
                <w:i/>
                <w:iCs/>
                <w:lang w:val="en-GB"/>
              </w:rPr>
            </w:pPr>
          </w:p>
          <w:p w14:paraId="14333814" w14:textId="77777777" w:rsidR="00A63E7C" w:rsidRPr="00AB0C4E" w:rsidRDefault="00A63E7C" w:rsidP="00A63E7C">
            <w:pPr>
              <w:rPr>
                <w:i/>
                <w:iCs/>
                <w:lang w:val="en-GB"/>
              </w:rPr>
            </w:pPr>
            <w:r w:rsidRPr="00AB0C4E">
              <w:rPr>
                <w:i/>
                <w:iCs/>
                <w:lang w:val="en-GB"/>
              </w:rPr>
              <w:t xml:space="preserve">Disclosing the effects of COVID-19 through adjusting figures calculated in accordance with IFRS (alternative performance measures – ‘APMs’ in some jurisdictions) may also require significant judgement. For further information, see </w:t>
            </w:r>
            <w:hyperlink r:id="rId32" w:history="1">
              <w:proofErr w:type="spellStart"/>
              <w:r w:rsidRPr="00AB0C4E">
                <w:rPr>
                  <w:rStyle w:val="Hyperlink"/>
                  <w:i/>
                  <w:iCs/>
                  <w:lang w:val="en-GB"/>
                </w:rPr>
                <w:t>ESMA’s</w:t>
              </w:r>
              <w:proofErr w:type="spellEnd"/>
              <w:r w:rsidRPr="00AB0C4E">
                <w:rPr>
                  <w:rStyle w:val="Hyperlink"/>
                  <w:i/>
                  <w:iCs/>
                  <w:lang w:val="en-GB"/>
                </w:rPr>
                <w:t xml:space="preserve"> Q&amp;A</w:t>
              </w:r>
            </w:hyperlink>
            <w:r w:rsidRPr="00AB0C4E">
              <w:rPr>
                <w:i/>
                <w:iCs/>
                <w:lang w:val="en-GB"/>
              </w:rPr>
              <w:t xml:space="preserve"> – Guidelines on Alternative Performance Measures (APMs) published in April 2020, which includes FAQs on the effects of COVID-19 being disclosed in APMs. </w:t>
            </w:r>
          </w:p>
          <w:p w14:paraId="0BFB1F0D" w14:textId="77777777" w:rsidR="00A63E7C" w:rsidRPr="00AB0C4E" w:rsidRDefault="00A63E7C" w:rsidP="00A63E7C">
            <w:pPr>
              <w:rPr>
                <w:i/>
                <w:iCs/>
                <w:lang w:val="en-GB"/>
              </w:rPr>
            </w:pPr>
          </w:p>
          <w:p w14:paraId="3BE2E9A6" w14:textId="77777777" w:rsidR="00A63E7C" w:rsidRPr="00AB0C4E" w:rsidRDefault="00A63E7C" w:rsidP="00A63E7C">
            <w:pPr>
              <w:rPr>
                <w:i/>
                <w:iCs/>
                <w:lang w:val="en-GB"/>
              </w:rPr>
            </w:pPr>
            <w:r w:rsidRPr="00AB0C4E">
              <w:rPr>
                <w:i/>
                <w:iCs/>
                <w:lang w:val="en-GB"/>
              </w:rPr>
              <w:t xml:space="preserve">Finally, while ‘operating profit’ is not currently defined in IFRS, it is a commonly presented line item. IAS 1 does not provide requirements for how it should be calculated, however, the inclusion or exclusion of items from this sub-total is a common area of focus for regulators and enforcers worldwide. The basis for conclusions to IAS 1 notes the following (IAS </w:t>
            </w:r>
            <w:proofErr w:type="gramStart"/>
            <w:r w:rsidRPr="00AB0C4E">
              <w:rPr>
                <w:i/>
                <w:iCs/>
                <w:lang w:val="en-GB"/>
              </w:rPr>
              <w:t>1.BC</w:t>
            </w:r>
            <w:proofErr w:type="gramEnd"/>
            <w:r w:rsidRPr="00AB0C4E">
              <w:rPr>
                <w:i/>
                <w:iCs/>
                <w:lang w:val="en-GB"/>
              </w:rPr>
              <w:t xml:space="preserve">56, </w:t>
            </w:r>
            <w:r w:rsidRPr="00AB0C4E">
              <w:rPr>
                <w:b/>
                <w:bCs/>
                <w:i/>
                <w:iCs/>
                <w:u w:val="single"/>
                <w:lang w:val="en-GB"/>
              </w:rPr>
              <w:t>emphasis added</w:t>
            </w:r>
            <w:r w:rsidRPr="00AB0C4E">
              <w:rPr>
                <w:i/>
                <w:iCs/>
                <w:lang w:val="en-GB"/>
              </w:rPr>
              <w:t xml:space="preserve">): </w:t>
            </w:r>
          </w:p>
          <w:p w14:paraId="0B2A5A6D" w14:textId="77777777" w:rsidR="00A63E7C" w:rsidRPr="00AB0C4E" w:rsidRDefault="00A63E7C" w:rsidP="00A63E7C">
            <w:pPr>
              <w:rPr>
                <w:i/>
                <w:iCs/>
                <w:lang w:val="en-GB"/>
              </w:rPr>
            </w:pPr>
          </w:p>
          <w:p w14:paraId="613F54C3" w14:textId="72DBC842" w:rsidR="00A63E7C" w:rsidRPr="00AB0C4E" w:rsidRDefault="00A63E7C" w:rsidP="00A63E7C">
            <w:pPr>
              <w:rPr>
                <w:i/>
                <w:iCs/>
                <w:lang w:val="en-GB"/>
              </w:rPr>
            </w:pPr>
            <w:r w:rsidRPr="00AB0C4E">
              <w:rPr>
                <w:i/>
                <w:iCs/>
                <w:lang w:val="en-GB"/>
              </w:rPr>
              <w:t xml:space="preserve">In the Board’s view, it would be misleading and would impair the comparability of financial statements if items of an operating nature were excluded from the results of operating activities, even if that had been industry practice. For example, </w:t>
            </w:r>
            <w:r w:rsidRPr="00AB0C4E">
              <w:rPr>
                <w:b/>
                <w:bCs/>
                <w:i/>
                <w:iCs/>
                <w:u w:val="single"/>
                <w:lang w:val="en-GB"/>
              </w:rPr>
              <w:t>it would be inappropriate to exclude items clearly related to operations</w:t>
            </w:r>
            <w:r w:rsidRPr="00AB0C4E">
              <w:rPr>
                <w:i/>
                <w:iCs/>
                <w:lang w:val="en-GB"/>
              </w:rPr>
              <w:t xml:space="preserve"> (such as inventory write</w:t>
            </w:r>
            <w:r w:rsidRPr="00AB0C4E">
              <w:rPr>
                <w:i/>
                <w:iCs/>
                <w:lang w:val="en-GB"/>
              </w:rPr>
              <w:noBreakHyphen/>
              <w:t xml:space="preserve">downs and restructuring and relocation expenses) </w:t>
            </w:r>
            <w:r w:rsidRPr="00AB0C4E">
              <w:rPr>
                <w:b/>
                <w:bCs/>
                <w:i/>
                <w:iCs/>
                <w:u w:val="single"/>
                <w:lang w:val="en-GB"/>
              </w:rPr>
              <w:t>because they occur irregularly or infrequently</w:t>
            </w:r>
            <w:r w:rsidRPr="00AB0C4E">
              <w:rPr>
                <w:i/>
                <w:iCs/>
                <w:lang w:val="en-GB"/>
              </w:rPr>
              <w:t xml:space="preserve"> or are unusual in amount. Similarly, it would be inappropriate to exclude items on the grounds that they do not involve cash flows, such as depreciation and amortisation expenses.</w:t>
            </w:r>
          </w:p>
        </w:tc>
      </w:tr>
    </w:tbl>
    <w:p w14:paraId="7F22177E" w14:textId="5C10BDF7" w:rsidR="00A63E7C" w:rsidRDefault="00A63E7C" w:rsidP="006E22AC">
      <w:pPr>
        <w:rPr>
          <w:lang w:val="en-GB"/>
        </w:rPr>
      </w:pPr>
      <w:r>
        <w:rPr>
          <w:lang w:val="en-GB"/>
        </w:rPr>
        <w:br w:type="page"/>
      </w:r>
    </w:p>
    <w:p w14:paraId="09548779" w14:textId="7E353FE5" w:rsidR="000C1E9D" w:rsidRPr="00AB0C4E" w:rsidRDefault="00A63E7C" w:rsidP="00E34B15">
      <w:pPr>
        <w:pStyle w:val="2kopBDO"/>
        <w:rPr>
          <w:lang w:val="en-GB"/>
        </w:rPr>
      </w:pPr>
      <w:r w:rsidRPr="00AB0C4E">
        <w:rPr>
          <w:lang w:val="en-GB"/>
        </w:rPr>
        <w:lastRenderedPageBreak/>
        <w:t>B.3 – ADDITIONAL LINE ITEMS</w:t>
      </w:r>
      <w:r>
        <w:rPr>
          <w:lang w:val="en-GB"/>
        </w:rPr>
        <w:t xml:space="preserve"> (CONTINUED)</w:t>
      </w:r>
    </w:p>
    <w:tbl>
      <w:tblPr>
        <w:tblStyle w:val="TableGrid"/>
        <w:tblW w:w="13993" w:type="dxa"/>
        <w:tblLook w:val="04A0" w:firstRow="1" w:lastRow="0" w:firstColumn="1" w:lastColumn="0" w:noHBand="0" w:noVBand="1"/>
      </w:tblPr>
      <w:tblGrid>
        <w:gridCol w:w="1469"/>
        <w:gridCol w:w="12524"/>
      </w:tblGrid>
      <w:tr w:rsidR="000C1E9D" w:rsidRPr="00AB0C4E" w14:paraId="7E24B5A4" w14:textId="77777777" w:rsidTr="001F50DB">
        <w:tc>
          <w:tcPr>
            <w:tcW w:w="13993" w:type="dxa"/>
            <w:gridSpan w:val="2"/>
            <w:shd w:val="clear" w:color="auto" w:fill="218F8B" w:themeFill="background2"/>
          </w:tcPr>
          <w:p w14:paraId="55F3B536" w14:textId="32DD2462" w:rsidR="000C1E9D" w:rsidRPr="00AB0C4E" w:rsidRDefault="000C1E9D" w:rsidP="001F50DB">
            <w:pPr>
              <w:rPr>
                <w:color w:val="FFFFFF" w:themeColor="background1"/>
                <w:lang w:val="en-GB"/>
              </w:rPr>
            </w:pPr>
            <w:r w:rsidRPr="00AB0C4E">
              <w:rPr>
                <w:color w:val="FFFFFF" w:themeColor="background1"/>
                <w:lang w:val="en-GB"/>
              </w:rPr>
              <w:t>B.</w:t>
            </w:r>
            <w:r w:rsidR="001F50DB" w:rsidRPr="00AB0C4E">
              <w:rPr>
                <w:color w:val="FFFFFF" w:themeColor="background1"/>
                <w:lang w:val="en-GB"/>
              </w:rPr>
              <w:t>3</w:t>
            </w:r>
            <w:r w:rsidRPr="00AB0C4E">
              <w:rPr>
                <w:color w:val="FFFFFF" w:themeColor="background1"/>
                <w:lang w:val="en-GB"/>
              </w:rPr>
              <w:t>(</w:t>
            </w:r>
            <w:r w:rsidR="001F50DB" w:rsidRPr="00AB0C4E">
              <w:rPr>
                <w:color w:val="FFFFFF" w:themeColor="background1"/>
                <w:lang w:val="en-GB"/>
              </w:rPr>
              <w:t>b</w:t>
            </w:r>
            <w:r w:rsidRPr="00AB0C4E">
              <w:rPr>
                <w:color w:val="FFFFFF" w:themeColor="background1"/>
                <w:lang w:val="en-GB"/>
              </w:rPr>
              <w:t xml:space="preserve">) – </w:t>
            </w:r>
            <w:r w:rsidR="001F50DB" w:rsidRPr="00AB0C4E">
              <w:rPr>
                <w:color w:val="FFFFFF" w:themeColor="background1"/>
                <w:lang w:val="en-GB"/>
              </w:rPr>
              <w:t xml:space="preserve">Pro forma figures presented in the statement of profit or loss and comprehensive income </w:t>
            </w:r>
          </w:p>
          <w:p w14:paraId="017BAE6A" w14:textId="77777777" w:rsidR="000C1E9D" w:rsidRPr="00AB0C4E" w:rsidRDefault="000C1E9D" w:rsidP="001F50DB">
            <w:pPr>
              <w:rPr>
                <w:color w:val="FFFFFF" w:themeColor="background1"/>
                <w:lang w:val="en-GB"/>
              </w:rPr>
            </w:pPr>
          </w:p>
          <w:p w14:paraId="00DECB2A" w14:textId="24AF3812" w:rsidR="000C1E9D" w:rsidRPr="00AB0C4E" w:rsidRDefault="000C1E9D" w:rsidP="001F50DB">
            <w:pPr>
              <w:rPr>
                <w:color w:val="FFFFFF" w:themeColor="background1"/>
                <w:lang w:val="en-GB"/>
              </w:rPr>
            </w:pPr>
            <w:r w:rsidRPr="00AB0C4E">
              <w:rPr>
                <w:color w:val="FFFFFF" w:themeColor="background1"/>
                <w:lang w:val="en-GB"/>
              </w:rPr>
              <w:t>Additional information:</w:t>
            </w:r>
            <w:r w:rsidR="007B63AD" w:rsidRPr="00AB0C4E">
              <w:rPr>
                <w:color w:val="FFFFFF" w:themeColor="background1"/>
                <w:lang w:val="en-GB"/>
              </w:rPr>
              <w:t xml:space="preserve"> </w:t>
            </w:r>
            <w:r w:rsidR="008A3793" w:rsidRPr="00AB0C4E">
              <w:rPr>
                <w:color w:val="FFFFFF" w:themeColor="background1"/>
                <w:lang w:val="en-GB"/>
              </w:rPr>
              <w:t xml:space="preserve">Z Layout forecasted </w:t>
            </w:r>
            <w:r w:rsidR="00854620" w:rsidRPr="00AB0C4E">
              <w:rPr>
                <w:color w:val="FFFFFF" w:themeColor="background1"/>
                <w:lang w:val="en-GB"/>
              </w:rPr>
              <w:t>revenue</w:t>
            </w:r>
            <w:r w:rsidR="008A3793" w:rsidRPr="00AB0C4E">
              <w:rPr>
                <w:color w:val="FFFFFF" w:themeColor="background1"/>
                <w:lang w:val="en-GB"/>
              </w:rPr>
              <w:t xml:space="preserve"> of CU 25,000,000 for </w:t>
            </w:r>
            <w:r w:rsidR="007C4E37">
              <w:rPr>
                <w:color w:val="FFFFFF" w:themeColor="background1"/>
                <w:lang w:val="en-GB"/>
              </w:rPr>
              <w:t xml:space="preserve">the year ended 31 </w:t>
            </w:r>
            <w:proofErr w:type="gramStart"/>
            <w:r w:rsidR="007C4E37">
              <w:rPr>
                <w:color w:val="FFFFFF" w:themeColor="background1"/>
                <w:lang w:val="en-GB"/>
              </w:rPr>
              <w:t xml:space="preserve">December </w:t>
            </w:r>
            <w:r w:rsidR="007C4E37" w:rsidRPr="00AB0C4E">
              <w:rPr>
                <w:color w:val="FFFFFF" w:themeColor="background1"/>
                <w:lang w:val="en-GB"/>
              </w:rPr>
              <w:t xml:space="preserve"> </w:t>
            </w:r>
            <w:r w:rsidR="008A3793" w:rsidRPr="00AB0C4E">
              <w:rPr>
                <w:color w:val="FFFFFF" w:themeColor="background1"/>
                <w:lang w:val="en-GB"/>
              </w:rPr>
              <w:t>2020</w:t>
            </w:r>
            <w:proofErr w:type="gramEnd"/>
            <w:r w:rsidR="008A3793" w:rsidRPr="00AB0C4E">
              <w:rPr>
                <w:color w:val="FFFFFF" w:themeColor="background1"/>
                <w:lang w:val="en-GB"/>
              </w:rPr>
              <w:t xml:space="preserve"> based on </w:t>
            </w:r>
            <w:r w:rsidR="007C4E37">
              <w:rPr>
                <w:color w:val="FFFFFF" w:themeColor="background1"/>
                <w:lang w:val="en-GB"/>
              </w:rPr>
              <w:t>its</w:t>
            </w:r>
            <w:r w:rsidR="007C4E37" w:rsidRPr="00AB0C4E">
              <w:rPr>
                <w:color w:val="FFFFFF" w:themeColor="background1"/>
                <w:lang w:val="en-GB"/>
              </w:rPr>
              <w:t xml:space="preserve"> </w:t>
            </w:r>
            <w:r w:rsidR="008A3793" w:rsidRPr="00AB0C4E">
              <w:rPr>
                <w:color w:val="FFFFFF" w:themeColor="background1"/>
                <w:lang w:val="en-GB"/>
              </w:rPr>
              <w:t xml:space="preserve">budget, which was approved in January 2020. The effects of COVID-19 resulted in </w:t>
            </w:r>
            <w:r w:rsidR="00A80932" w:rsidRPr="00AB0C4E">
              <w:rPr>
                <w:color w:val="FFFFFF" w:themeColor="background1"/>
                <w:lang w:val="en-GB"/>
              </w:rPr>
              <w:t xml:space="preserve">sales from retail locations being significantly under-budget, however, online sales were significant over budget. In order to provide financial statement users with </w:t>
            </w:r>
            <w:r w:rsidR="00854620" w:rsidRPr="00AB0C4E">
              <w:rPr>
                <w:color w:val="FFFFFF" w:themeColor="background1"/>
                <w:lang w:val="en-GB"/>
              </w:rPr>
              <w:t>information about the performance of Z Layout if COVID-19 had not occurred, management is preparing its statement of profit or loss and comprehensive income to include revenue</w:t>
            </w:r>
            <w:r w:rsidR="008A3793" w:rsidRPr="00AB0C4E">
              <w:rPr>
                <w:color w:val="FFFFFF" w:themeColor="background1"/>
                <w:lang w:val="en-GB"/>
              </w:rPr>
              <w:t xml:space="preserve"> </w:t>
            </w:r>
            <w:r w:rsidR="00854620" w:rsidRPr="00AB0C4E">
              <w:rPr>
                <w:color w:val="FFFFFF" w:themeColor="background1"/>
                <w:lang w:val="en-GB"/>
              </w:rPr>
              <w:t xml:space="preserve">as per the budget, with variance from the budget explained in multiple additional columns. </w:t>
            </w:r>
            <w:r w:rsidR="00E530FB" w:rsidRPr="00AB0C4E">
              <w:rPr>
                <w:color w:val="FFFFFF" w:themeColor="background1"/>
                <w:lang w:val="en-GB"/>
              </w:rPr>
              <w:t>See below for management’s proposed presentation.</w:t>
            </w:r>
          </w:p>
        </w:tc>
      </w:tr>
      <w:tr w:rsidR="000C1E9D" w:rsidRPr="00AB0C4E" w14:paraId="6AAC5019" w14:textId="77777777" w:rsidTr="001F50DB">
        <w:tc>
          <w:tcPr>
            <w:tcW w:w="1469" w:type="dxa"/>
            <w:shd w:val="clear" w:color="auto" w:fill="657C91" w:themeFill="accent4"/>
          </w:tcPr>
          <w:p w14:paraId="6159406F" w14:textId="77777777" w:rsidR="000C1E9D" w:rsidRPr="00AB0C4E" w:rsidRDefault="000C1E9D" w:rsidP="001F50DB">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3809CA8D" w14:textId="77777777" w:rsidR="000C1E9D" w:rsidRPr="00AB0C4E" w:rsidRDefault="000C1E9D" w:rsidP="001F50DB">
            <w:pPr>
              <w:rPr>
                <w:color w:val="FFFFFF" w:themeColor="background1"/>
                <w:lang w:val="en-GB"/>
              </w:rPr>
            </w:pPr>
            <w:r w:rsidRPr="00AB0C4E">
              <w:rPr>
                <w:color w:val="FFFFFF" w:themeColor="background1"/>
                <w:lang w:val="en-GB"/>
              </w:rPr>
              <w:t xml:space="preserve">Illustrative disclosure </w:t>
            </w:r>
          </w:p>
        </w:tc>
      </w:tr>
      <w:tr w:rsidR="000C1E9D" w:rsidRPr="00AB0C4E" w14:paraId="4DDD59D5" w14:textId="77777777" w:rsidTr="001F50DB">
        <w:tc>
          <w:tcPr>
            <w:tcW w:w="1469" w:type="dxa"/>
            <w:shd w:val="clear" w:color="auto" w:fill="FFFFFF" w:themeFill="background1"/>
          </w:tcPr>
          <w:p w14:paraId="6F89B6DB" w14:textId="77777777" w:rsidR="000C1E9D" w:rsidRPr="00AB0C4E" w:rsidRDefault="000C1E9D" w:rsidP="001F50DB">
            <w:pPr>
              <w:jc w:val="right"/>
              <w:rPr>
                <w:lang w:val="en-GB"/>
              </w:rPr>
            </w:pPr>
          </w:p>
        </w:tc>
        <w:tc>
          <w:tcPr>
            <w:tcW w:w="12524" w:type="dxa"/>
            <w:shd w:val="clear" w:color="auto" w:fill="FFFFFF" w:themeFill="background1"/>
          </w:tcPr>
          <w:p w14:paraId="456A907E" w14:textId="77777777" w:rsidR="000C1E9D" w:rsidRPr="00AB0C4E" w:rsidRDefault="00E530FB" w:rsidP="001F50DB">
            <w:pPr>
              <w:rPr>
                <w:lang w:val="en-GB"/>
              </w:rPr>
            </w:pPr>
            <w:r w:rsidRPr="00AB0C4E">
              <w:rPr>
                <w:u w:val="single"/>
                <w:lang w:val="en-GB"/>
              </w:rPr>
              <w:t>Management proposed presentation (not in compliance with IFRS – see analysis below)</w:t>
            </w:r>
          </w:p>
          <w:p w14:paraId="474EA461" w14:textId="77777777" w:rsidR="00E530FB" w:rsidRPr="00AB0C4E" w:rsidRDefault="00E530FB" w:rsidP="001F50DB">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2675"/>
              <w:gridCol w:w="2460"/>
              <w:gridCol w:w="2460"/>
              <w:gridCol w:w="2460"/>
            </w:tblGrid>
            <w:tr w:rsidR="00E530FB" w:rsidRPr="00AB0C4E" w14:paraId="4A0448CB" w14:textId="77777777" w:rsidTr="00FA2A4A">
              <w:tc>
                <w:tcPr>
                  <w:tcW w:w="2243" w:type="dxa"/>
                </w:tcPr>
                <w:p w14:paraId="17384866" w14:textId="77777777" w:rsidR="00E530FB" w:rsidRPr="00AB0C4E" w:rsidRDefault="00E530FB" w:rsidP="00FA2A4A">
                  <w:pPr>
                    <w:jc w:val="right"/>
                    <w:rPr>
                      <w:lang w:val="en-GB"/>
                    </w:rPr>
                  </w:pPr>
                </w:p>
              </w:tc>
              <w:tc>
                <w:tcPr>
                  <w:tcW w:w="2675" w:type="dxa"/>
                </w:tcPr>
                <w:p w14:paraId="653E3B75" w14:textId="03959BE1" w:rsidR="00E530FB" w:rsidRPr="00AB0C4E" w:rsidRDefault="00E530FB" w:rsidP="00FA2A4A">
                  <w:pPr>
                    <w:jc w:val="right"/>
                    <w:rPr>
                      <w:i/>
                      <w:iCs/>
                      <w:lang w:val="en-GB"/>
                    </w:rPr>
                  </w:pPr>
                  <w:r w:rsidRPr="00AB0C4E">
                    <w:rPr>
                      <w:i/>
                      <w:iCs/>
                      <w:lang w:val="en-GB"/>
                    </w:rPr>
                    <w:t>2020 budget (no COVID-19)</w:t>
                  </w:r>
                </w:p>
              </w:tc>
              <w:tc>
                <w:tcPr>
                  <w:tcW w:w="2460" w:type="dxa"/>
                </w:tcPr>
                <w:p w14:paraId="1F7BDF82" w14:textId="722D63CB" w:rsidR="00E530FB" w:rsidRPr="00AB0C4E" w:rsidRDefault="00E530FB" w:rsidP="00FA2A4A">
                  <w:pPr>
                    <w:jc w:val="right"/>
                    <w:rPr>
                      <w:i/>
                      <w:iCs/>
                      <w:lang w:val="en-GB"/>
                    </w:rPr>
                  </w:pPr>
                  <w:r w:rsidRPr="00AB0C4E">
                    <w:rPr>
                      <w:i/>
                      <w:iCs/>
                      <w:lang w:val="en-GB"/>
                    </w:rPr>
                    <w:t>Variance from budget</w:t>
                  </w:r>
                </w:p>
              </w:tc>
              <w:tc>
                <w:tcPr>
                  <w:tcW w:w="2460" w:type="dxa"/>
                </w:tcPr>
                <w:p w14:paraId="6E3A3632" w14:textId="4AC1C960" w:rsidR="00E530FB" w:rsidRPr="00AB0C4E" w:rsidRDefault="00E530FB" w:rsidP="00FA2A4A">
                  <w:pPr>
                    <w:jc w:val="right"/>
                    <w:rPr>
                      <w:i/>
                      <w:iCs/>
                      <w:lang w:val="en-GB"/>
                    </w:rPr>
                  </w:pPr>
                  <w:r w:rsidRPr="00AB0C4E">
                    <w:rPr>
                      <w:i/>
                      <w:iCs/>
                      <w:lang w:val="en-GB"/>
                    </w:rPr>
                    <w:t>Actual 2020</w:t>
                  </w:r>
                </w:p>
              </w:tc>
              <w:tc>
                <w:tcPr>
                  <w:tcW w:w="2460" w:type="dxa"/>
                </w:tcPr>
                <w:p w14:paraId="4A3E104D" w14:textId="68253CF2" w:rsidR="00E530FB" w:rsidRPr="00AB0C4E" w:rsidRDefault="00E530FB" w:rsidP="00FA2A4A">
                  <w:pPr>
                    <w:jc w:val="right"/>
                    <w:rPr>
                      <w:i/>
                      <w:iCs/>
                      <w:lang w:val="en-GB"/>
                    </w:rPr>
                  </w:pPr>
                  <w:r w:rsidRPr="00AB0C4E">
                    <w:rPr>
                      <w:i/>
                      <w:iCs/>
                      <w:lang w:val="en-GB"/>
                    </w:rPr>
                    <w:t>2019</w:t>
                  </w:r>
                </w:p>
              </w:tc>
            </w:tr>
            <w:tr w:rsidR="00E530FB" w:rsidRPr="00AB0C4E" w14:paraId="62F5436F" w14:textId="77777777" w:rsidTr="00FA2A4A">
              <w:tc>
                <w:tcPr>
                  <w:tcW w:w="2243" w:type="dxa"/>
                </w:tcPr>
                <w:p w14:paraId="034476A5" w14:textId="077BD3E5" w:rsidR="00E530FB" w:rsidRPr="00AB0C4E" w:rsidRDefault="00E530FB" w:rsidP="00FA2A4A">
                  <w:pPr>
                    <w:rPr>
                      <w:lang w:val="en-GB"/>
                    </w:rPr>
                  </w:pPr>
                  <w:r w:rsidRPr="00AB0C4E">
                    <w:rPr>
                      <w:lang w:val="en-GB"/>
                    </w:rPr>
                    <w:t>Revenue</w:t>
                  </w:r>
                </w:p>
              </w:tc>
              <w:tc>
                <w:tcPr>
                  <w:tcW w:w="2675" w:type="dxa"/>
                </w:tcPr>
                <w:p w14:paraId="74883E3A" w14:textId="5254333E" w:rsidR="00E530FB" w:rsidRPr="00AB0C4E" w:rsidRDefault="00E530FB" w:rsidP="00FA2A4A">
                  <w:pPr>
                    <w:jc w:val="right"/>
                    <w:rPr>
                      <w:lang w:val="en-GB"/>
                    </w:rPr>
                  </w:pPr>
                </w:p>
              </w:tc>
              <w:tc>
                <w:tcPr>
                  <w:tcW w:w="2460" w:type="dxa"/>
                </w:tcPr>
                <w:p w14:paraId="29C8304F" w14:textId="77777777" w:rsidR="00E530FB" w:rsidRPr="00AB0C4E" w:rsidRDefault="00E530FB" w:rsidP="00FA2A4A">
                  <w:pPr>
                    <w:jc w:val="right"/>
                    <w:rPr>
                      <w:lang w:val="en-GB"/>
                    </w:rPr>
                  </w:pPr>
                </w:p>
              </w:tc>
              <w:tc>
                <w:tcPr>
                  <w:tcW w:w="2460" w:type="dxa"/>
                </w:tcPr>
                <w:p w14:paraId="7FF20D34" w14:textId="77777777" w:rsidR="00E530FB" w:rsidRPr="00AB0C4E" w:rsidRDefault="00E530FB" w:rsidP="00FA2A4A">
                  <w:pPr>
                    <w:jc w:val="right"/>
                    <w:rPr>
                      <w:lang w:val="en-GB"/>
                    </w:rPr>
                  </w:pPr>
                </w:p>
              </w:tc>
              <w:tc>
                <w:tcPr>
                  <w:tcW w:w="2460" w:type="dxa"/>
                </w:tcPr>
                <w:p w14:paraId="03F1812D" w14:textId="77777777" w:rsidR="00E530FB" w:rsidRPr="00AB0C4E" w:rsidRDefault="00E530FB" w:rsidP="00FA2A4A">
                  <w:pPr>
                    <w:jc w:val="right"/>
                    <w:rPr>
                      <w:lang w:val="en-GB"/>
                    </w:rPr>
                  </w:pPr>
                </w:p>
              </w:tc>
            </w:tr>
            <w:tr w:rsidR="00E530FB" w:rsidRPr="00AB0C4E" w14:paraId="3189B4EE" w14:textId="77777777" w:rsidTr="00FA2A4A">
              <w:tc>
                <w:tcPr>
                  <w:tcW w:w="2243" w:type="dxa"/>
                </w:tcPr>
                <w:p w14:paraId="24198684" w14:textId="2FF2E579" w:rsidR="00E530FB" w:rsidRPr="00AB0C4E" w:rsidRDefault="00E530FB" w:rsidP="00FA2A4A">
                  <w:pPr>
                    <w:rPr>
                      <w:lang w:val="en-GB"/>
                    </w:rPr>
                  </w:pPr>
                  <w:r w:rsidRPr="00AB0C4E">
                    <w:rPr>
                      <w:lang w:val="en-GB"/>
                    </w:rPr>
                    <w:t xml:space="preserve">   Retail locations</w:t>
                  </w:r>
                </w:p>
              </w:tc>
              <w:tc>
                <w:tcPr>
                  <w:tcW w:w="2675" w:type="dxa"/>
                </w:tcPr>
                <w:p w14:paraId="024A43E2" w14:textId="4B93A609" w:rsidR="00E530FB" w:rsidRPr="00AB0C4E" w:rsidRDefault="00E530FB" w:rsidP="00FA2A4A">
                  <w:pPr>
                    <w:jc w:val="right"/>
                    <w:rPr>
                      <w:lang w:val="en-GB"/>
                    </w:rPr>
                  </w:pPr>
                  <w:r w:rsidRPr="00AB0C4E">
                    <w:rPr>
                      <w:lang w:val="en-GB"/>
                    </w:rPr>
                    <w:t>20,000,000</w:t>
                  </w:r>
                </w:p>
              </w:tc>
              <w:tc>
                <w:tcPr>
                  <w:tcW w:w="2460" w:type="dxa"/>
                </w:tcPr>
                <w:p w14:paraId="761AE4FA" w14:textId="004B1B23" w:rsidR="00E530FB" w:rsidRPr="00AB0C4E" w:rsidRDefault="00E530FB" w:rsidP="00FA2A4A">
                  <w:pPr>
                    <w:jc w:val="right"/>
                    <w:rPr>
                      <w:lang w:val="en-GB"/>
                    </w:rPr>
                  </w:pPr>
                  <w:r w:rsidRPr="00AB0C4E">
                    <w:rPr>
                      <w:lang w:val="en-GB"/>
                    </w:rPr>
                    <w:t>(10,000,000)</w:t>
                  </w:r>
                </w:p>
              </w:tc>
              <w:tc>
                <w:tcPr>
                  <w:tcW w:w="2460" w:type="dxa"/>
                </w:tcPr>
                <w:p w14:paraId="00CF4DA7" w14:textId="02C2F0B5" w:rsidR="00E530FB" w:rsidRPr="00AB0C4E" w:rsidRDefault="00FA2A4A" w:rsidP="00FA2A4A">
                  <w:pPr>
                    <w:jc w:val="right"/>
                    <w:rPr>
                      <w:lang w:val="en-GB"/>
                    </w:rPr>
                  </w:pPr>
                  <w:r w:rsidRPr="00AB0C4E">
                    <w:rPr>
                      <w:lang w:val="en-GB"/>
                    </w:rPr>
                    <w:t>10,000,000</w:t>
                  </w:r>
                </w:p>
              </w:tc>
              <w:tc>
                <w:tcPr>
                  <w:tcW w:w="2460" w:type="dxa"/>
                </w:tcPr>
                <w:p w14:paraId="2BE2A968" w14:textId="51E76350" w:rsidR="00E530FB" w:rsidRPr="00AB0C4E" w:rsidRDefault="00FA2A4A" w:rsidP="00FA2A4A">
                  <w:pPr>
                    <w:jc w:val="right"/>
                    <w:rPr>
                      <w:lang w:val="en-GB"/>
                    </w:rPr>
                  </w:pPr>
                  <w:r w:rsidRPr="00AB0C4E">
                    <w:rPr>
                      <w:lang w:val="en-GB"/>
                    </w:rPr>
                    <w:t>18,750,000</w:t>
                  </w:r>
                </w:p>
              </w:tc>
            </w:tr>
            <w:tr w:rsidR="00E530FB" w:rsidRPr="00AB0C4E" w14:paraId="4816CC7E" w14:textId="77777777" w:rsidTr="00FA2A4A">
              <w:tc>
                <w:tcPr>
                  <w:tcW w:w="2243" w:type="dxa"/>
                </w:tcPr>
                <w:p w14:paraId="33AB28A4" w14:textId="777BC5CA" w:rsidR="00E530FB" w:rsidRPr="00AB0C4E" w:rsidRDefault="00E530FB" w:rsidP="00FA2A4A">
                  <w:pPr>
                    <w:rPr>
                      <w:lang w:val="en-GB"/>
                    </w:rPr>
                  </w:pPr>
                  <w:r w:rsidRPr="00AB0C4E">
                    <w:rPr>
                      <w:lang w:val="en-GB"/>
                    </w:rPr>
                    <w:t xml:space="preserve">   Online store</w:t>
                  </w:r>
                </w:p>
              </w:tc>
              <w:tc>
                <w:tcPr>
                  <w:tcW w:w="2675" w:type="dxa"/>
                </w:tcPr>
                <w:p w14:paraId="4842F7BD" w14:textId="348A0972" w:rsidR="00E530FB" w:rsidRPr="00AB0C4E" w:rsidRDefault="00E530FB" w:rsidP="00FA2A4A">
                  <w:pPr>
                    <w:jc w:val="right"/>
                    <w:rPr>
                      <w:u w:val="single"/>
                      <w:lang w:val="en-GB"/>
                    </w:rPr>
                  </w:pPr>
                  <w:r w:rsidRPr="00AB0C4E">
                    <w:rPr>
                      <w:u w:val="single"/>
                      <w:lang w:val="en-GB"/>
                    </w:rPr>
                    <w:t>5,000,000</w:t>
                  </w:r>
                </w:p>
              </w:tc>
              <w:tc>
                <w:tcPr>
                  <w:tcW w:w="2460" w:type="dxa"/>
                </w:tcPr>
                <w:p w14:paraId="4C26F789" w14:textId="43E17291" w:rsidR="00E530FB" w:rsidRPr="00AB0C4E" w:rsidRDefault="00E530FB" w:rsidP="00FA2A4A">
                  <w:pPr>
                    <w:jc w:val="right"/>
                    <w:rPr>
                      <w:u w:val="single"/>
                      <w:lang w:val="en-GB"/>
                    </w:rPr>
                  </w:pPr>
                  <w:r w:rsidRPr="00AB0C4E">
                    <w:rPr>
                      <w:u w:val="single"/>
                      <w:lang w:val="en-GB"/>
                    </w:rPr>
                    <w:t>4,500,000</w:t>
                  </w:r>
                </w:p>
              </w:tc>
              <w:tc>
                <w:tcPr>
                  <w:tcW w:w="2460" w:type="dxa"/>
                </w:tcPr>
                <w:p w14:paraId="0DF30F80" w14:textId="2DC08687" w:rsidR="00E530FB" w:rsidRPr="00AB0C4E" w:rsidRDefault="00FA2A4A" w:rsidP="00FA2A4A">
                  <w:pPr>
                    <w:jc w:val="right"/>
                    <w:rPr>
                      <w:u w:val="single"/>
                      <w:lang w:val="en-GB"/>
                    </w:rPr>
                  </w:pPr>
                  <w:r w:rsidRPr="00AB0C4E">
                    <w:rPr>
                      <w:u w:val="single"/>
                      <w:lang w:val="en-GB"/>
                    </w:rPr>
                    <w:t>9,500,000</w:t>
                  </w:r>
                </w:p>
              </w:tc>
              <w:tc>
                <w:tcPr>
                  <w:tcW w:w="2460" w:type="dxa"/>
                </w:tcPr>
                <w:p w14:paraId="40A654FA" w14:textId="1F55E971" w:rsidR="00E530FB" w:rsidRPr="00AB0C4E" w:rsidRDefault="00FA2A4A" w:rsidP="00FA2A4A">
                  <w:pPr>
                    <w:jc w:val="right"/>
                    <w:rPr>
                      <w:u w:val="single"/>
                      <w:lang w:val="en-GB"/>
                    </w:rPr>
                  </w:pPr>
                  <w:r w:rsidRPr="00AB0C4E">
                    <w:rPr>
                      <w:u w:val="single"/>
                      <w:lang w:val="en-GB"/>
                    </w:rPr>
                    <w:t>4,250,000</w:t>
                  </w:r>
                </w:p>
              </w:tc>
            </w:tr>
            <w:tr w:rsidR="00E530FB" w:rsidRPr="00AB0C4E" w14:paraId="5B446E7D" w14:textId="77777777" w:rsidTr="00FA2A4A">
              <w:tc>
                <w:tcPr>
                  <w:tcW w:w="2243" w:type="dxa"/>
                </w:tcPr>
                <w:p w14:paraId="0BAD8F0E" w14:textId="2205C49B" w:rsidR="00E530FB" w:rsidRPr="00AB0C4E" w:rsidRDefault="00E530FB" w:rsidP="00FA2A4A">
                  <w:pPr>
                    <w:rPr>
                      <w:lang w:val="en-GB"/>
                    </w:rPr>
                  </w:pPr>
                  <w:r w:rsidRPr="00AB0C4E">
                    <w:rPr>
                      <w:lang w:val="en-GB"/>
                    </w:rPr>
                    <w:t>Total revenue</w:t>
                  </w:r>
                </w:p>
              </w:tc>
              <w:tc>
                <w:tcPr>
                  <w:tcW w:w="2675" w:type="dxa"/>
                </w:tcPr>
                <w:p w14:paraId="1C55BF31" w14:textId="31F2E40A" w:rsidR="00E530FB" w:rsidRPr="00AB0C4E" w:rsidRDefault="00E530FB" w:rsidP="00FA2A4A">
                  <w:pPr>
                    <w:jc w:val="right"/>
                    <w:rPr>
                      <w:lang w:val="en-GB"/>
                    </w:rPr>
                  </w:pPr>
                  <w:r w:rsidRPr="00AB0C4E">
                    <w:rPr>
                      <w:lang w:val="en-GB"/>
                    </w:rPr>
                    <w:t>25,000,000</w:t>
                  </w:r>
                </w:p>
              </w:tc>
              <w:tc>
                <w:tcPr>
                  <w:tcW w:w="2460" w:type="dxa"/>
                </w:tcPr>
                <w:p w14:paraId="209469A2" w14:textId="11A9E12B" w:rsidR="00E530FB" w:rsidRPr="00AB0C4E" w:rsidRDefault="00EB441A" w:rsidP="00FA2A4A">
                  <w:pPr>
                    <w:jc w:val="right"/>
                    <w:rPr>
                      <w:lang w:val="en-GB"/>
                    </w:rPr>
                  </w:pPr>
                  <w:r w:rsidRPr="00AB0C4E">
                    <w:rPr>
                      <w:lang w:val="en-GB"/>
                    </w:rPr>
                    <w:t>(</w:t>
                  </w:r>
                  <w:r w:rsidR="00E530FB" w:rsidRPr="00AB0C4E">
                    <w:rPr>
                      <w:lang w:val="en-GB"/>
                    </w:rPr>
                    <w:t>5,500,000</w:t>
                  </w:r>
                  <w:r w:rsidRPr="00AB0C4E">
                    <w:rPr>
                      <w:lang w:val="en-GB"/>
                    </w:rPr>
                    <w:t>)</w:t>
                  </w:r>
                </w:p>
              </w:tc>
              <w:tc>
                <w:tcPr>
                  <w:tcW w:w="2460" w:type="dxa"/>
                </w:tcPr>
                <w:p w14:paraId="78A5337B" w14:textId="6D6F5B7C" w:rsidR="00E530FB" w:rsidRPr="00AB0C4E" w:rsidRDefault="00FA2A4A" w:rsidP="00FA2A4A">
                  <w:pPr>
                    <w:jc w:val="right"/>
                    <w:rPr>
                      <w:lang w:val="en-GB"/>
                    </w:rPr>
                  </w:pPr>
                  <w:r w:rsidRPr="00AB0C4E">
                    <w:rPr>
                      <w:lang w:val="en-GB"/>
                    </w:rPr>
                    <w:t>19,500,000</w:t>
                  </w:r>
                </w:p>
              </w:tc>
              <w:tc>
                <w:tcPr>
                  <w:tcW w:w="2460" w:type="dxa"/>
                </w:tcPr>
                <w:p w14:paraId="74B4E865" w14:textId="39FAE7C2" w:rsidR="00E530FB" w:rsidRPr="00AB0C4E" w:rsidRDefault="00FA2A4A" w:rsidP="00FA2A4A">
                  <w:pPr>
                    <w:jc w:val="right"/>
                    <w:rPr>
                      <w:lang w:val="en-GB"/>
                    </w:rPr>
                  </w:pPr>
                  <w:r w:rsidRPr="00AB0C4E">
                    <w:rPr>
                      <w:lang w:val="en-GB"/>
                    </w:rPr>
                    <w:t>23,000,000</w:t>
                  </w:r>
                </w:p>
              </w:tc>
            </w:tr>
            <w:tr w:rsidR="00E530FB" w:rsidRPr="00AB0C4E" w14:paraId="2C6C6394" w14:textId="77777777" w:rsidTr="00FA2A4A">
              <w:tc>
                <w:tcPr>
                  <w:tcW w:w="2243" w:type="dxa"/>
                </w:tcPr>
                <w:p w14:paraId="7628D9FB" w14:textId="04CB49D0" w:rsidR="00E530FB" w:rsidRPr="00AB0C4E" w:rsidRDefault="00E530FB" w:rsidP="00FA2A4A">
                  <w:pPr>
                    <w:rPr>
                      <w:lang w:val="en-GB"/>
                    </w:rPr>
                  </w:pPr>
                  <w:r w:rsidRPr="00AB0C4E">
                    <w:rPr>
                      <w:lang w:val="en-GB"/>
                    </w:rPr>
                    <w:t>Cost of sales</w:t>
                  </w:r>
                </w:p>
              </w:tc>
              <w:tc>
                <w:tcPr>
                  <w:tcW w:w="2675" w:type="dxa"/>
                </w:tcPr>
                <w:p w14:paraId="183F582A" w14:textId="38961A94" w:rsidR="00E530FB" w:rsidRPr="00AB0C4E" w:rsidRDefault="00E530FB" w:rsidP="00FA2A4A">
                  <w:pPr>
                    <w:jc w:val="right"/>
                    <w:rPr>
                      <w:u w:val="single"/>
                      <w:lang w:val="en-GB"/>
                    </w:rPr>
                  </w:pPr>
                  <w:r w:rsidRPr="00AB0C4E">
                    <w:rPr>
                      <w:u w:val="single"/>
                      <w:lang w:val="en-GB"/>
                    </w:rPr>
                    <w:t>18,750,000</w:t>
                  </w:r>
                </w:p>
              </w:tc>
              <w:tc>
                <w:tcPr>
                  <w:tcW w:w="2460" w:type="dxa"/>
                </w:tcPr>
                <w:p w14:paraId="5125FEFA" w14:textId="170E3D14" w:rsidR="00E530FB" w:rsidRPr="00AB0C4E" w:rsidRDefault="00E530FB" w:rsidP="00FA2A4A">
                  <w:pPr>
                    <w:jc w:val="right"/>
                    <w:rPr>
                      <w:u w:val="single"/>
                      <w:lang w:val="en-GB"/>
                    </w:rPr>
                  </w:pPr>
                  <w:r w:rsidRPr="00AB0C4E">
                    <w:rPr>
                      <w:u w:val="single"/>
                      <w:lang w:val="en-GB"/>
                    </w:rPr>
                    <w:t>(4,250,000)</w:t>
                  </w:r>
                </w:p>
              </w:tc>
              <w:tc>
                <w:tcPr>
                  <w:tcW w:w="2460" w:type="dxa"/>
                </w:tcPr>
                <w:p w14:paraId="39B38DBE" w14:textId="73385E50" w:rsidR="00E530FB" w:rsidRPr="00AB0C4E" w:rsidRDefault="00FA2A4A" w:rsidP="00FA2A4A">
                  <w:pPr>
                    <w:jc w:val="right"/>
                    <w:rPr>
                      <w:u w:val="single"/>
                      <w:lang w:val="en-GB"/>
                    </w:rPr>
                  </w:pPr>
                  <w:r w:rsidRPr="00AB0C4E">
                    <w:rPr>
                      <w:u w:val="single"/>
                      <w:lang w:val="en-GB"/>
                    </w:rPr>
                    <w:t>14,500,000</w:t>
                  </w:r>
                </w:p>
              </w:tc>
              <w:tc>
                <w:tcPr>
                  <w:tcW w:w="2460" w:type="dxa"/>
                </w:tcPr>
                <w:p w14:paraId="38519275" w14:textId="580CAD65" w:rsidR="00E530FB" w:rsidRPr="00AB0C4E" w:rsidRDefault="00FA2A4A" w:rsidP="00FA2A4A">
                  <w:pPr>
                    <w:jc w:val="right"/>
                    <w:rPr>
                      <w:u w:val="single"/>
                      <w:lang w:val="en-GB"/>
                    </w:rPr>
                  </w:pPr>
                  <w:r w:rsidRPr="00AB0C4E">
                    <w:rPr>
                      <w:u w:val="single"/>
                      <w:lang w:val="en-GB"/>
                    </w:rPr>
                    <w:t>16,900,000</w:t>
                  </w:r>
                </w:p>
              </w:tc>
            </w:tr>
            <w:tr w:rsidR="00E530FB" w:rsidRPr="00AB0C4E" w14:paraId="43AD4AD8" w14:textId="77777777" w:rsidTr="00FA2A4A">
              <w:tc>
                <w:tcPr>
                  <w:tcW w:w="2243" w:type="dxa"/>
                </w:tcPr>
                <w:p w14:paraId="5534ECC5" w14:textId="0CBE09D5" w:rsidR="00E530FB" w:rsidRPr="00AB0C4E" w:rsidRDefault="00E530FB" w:rsidP="00FA2A4A">
                  <w:pPr>
                    <w:rPr>
                      <w:lang w:val="en-GB"/>
                    </w:rPr>
                  </w:pPr>
                  <w:r w:rsidRPr="00AB0C4E">
                    <w:rPr>
                      <w:lang w:val="en-GB"/>
                    </w:rPr>
                    <w:t>Gross margin</w:t>
                  </w:r>
                </w:p>
              </w:tc>
              <w:tc>
                <w:tcPr>
                  <w:tcW w:w="2675" w:type="dxa"/>
                </w:tcPr>
                <w:p w14:paraId="6A6C30C2" w14:textId="65F56293" w:rsidR="00E530FB" w:rsidRPr="00AB0C4E" w:rsidRDefault="00E530FB" w:rsidP="00FA2A4A">
                  <w:pPr>
                    <w:jc w:val="right"/>
                    <w:rPr>
                      <w:lang w:val="en-GB"/>
                    </w:rPr>
                  </w:pPr>
                  <w:r w:rsidRPr="00AB0C4E">
                    <w:rPr>
                      <w:lang w:val="en-GB"/>
                    </w:rPr>
                    <w:t>6,250,000</w:t>
                  </w:r>
                </w:p>
              </w:tc>
              <w:tc>
                <w:tcPr>
                  <w:tcW w:w="2460" w:type="dxa"/>
                </w:tcPr>
                <w:p w14:paraId="53977198" w14:textId="51CC95C6" w:rsidR="00E530FB" w:rsidRPr="00AB0C4E" w:rsidRDefault="00E530FB" w:rsidP="00FA2A4A">
                  <w:pPr>
                    <w:jc w:val="right"/>
                    <w:rPr>
                      <w:lang w:val="en-GB"/>
                    </w:rPr>
                  </w:pPr>
                  <w:r w:rsidRPr="00AB0C4E">
                    <w:rPr>
                      <w:lang w:val="en-GB"/>
                    </w:rPr>
                    <w:t>(1,250,000)</w:t>
                  </w:r>
                </w:p>
              </w:tc>
              <w:tc>
                <w:tcPr>
                  <w:tcW w:w="2460" w:type="dxa"/>
                </w:tcPr>
                <w:p w14:paraId="73EDBC5E" w14:textId="7845EF52" w:rsidR="00E530FB" w:rsidRPr="00AB0C4E" w:rsidRDefault="00EB441A" w:rsidP="00FA2A4A">
                  <w:pPr>
                    <w:jc w:val="right"/>
                    <w:rPr>
                      <w:lang w:val="en-GB"/>
                    </w:rPr>
                  </w:pPr>
                  <w:r w:rsidRPr="00AB0C4E">
                    <w:rPr>
                      <w:lang w:val="en-GB"/>
                    </w:rPr>
                    <w:t>5</w:t>
                  </w:r>
                  <w:r w:rsidR="00FA2A4A" w:rsidRPr="00AB0C4E">
                    <w:rPr>
                      <w:lang w:val="en-GB"/>
                    </w:rPr>
                    <w:t>,</w:t>
                  </w:r>
                  <w:r w:rsidRPr="00AB0C4E">
                    <w:rPr>
                      <w:lang w:val="en-GB"/>
                    </w:rPr>
                    <w:t>000</w:t>
                  </w:r>
                  <w:r w:rsidR="00FA2A4A" w:rsidRPr="00AB0C4E">
                    <w:rPr>
                      <w:lang w:val="en-GB"/>
                    </w:rPr>
                    <w:t>,000</w:t>
                  </w:r>
                </w:p>
              </w:tc>
              <w:tc>
                <w:tcPr>
                  <w:tcW w:w="2460" w:type="dxa"/>
                </w:tcPr>
                <w:p w14:paraId="433EE197" w14:textId="77777777" w:rsidR="00E530FB" w:rsidRPr="00AB0C4E" w:rsidRDefault="00FA2A4A" w:rsidP="00FA2A4A">
                  <w:pPr>
                    <w:jc w:val="right"/>
                    <w:rPr>
                      <w:lang w:val="en-GB"/>
                    </w:rPr>
                  </w:pPr>
                  <w:r w:rsidRPr="00AB0C4E">
                    <w:rPr>
                      <w:lang w:val="en-GB"/>
                    </w:rPr>
                    <w:t>6,100,000</w:t>
                  </w:r>
                </w:p>
                <w:p w14:paraId="02604E6D" w14:textId="75F7ECA8" w:rsidR="00FA2A4A" w:rsidRPr="00AB0C4E" w:rsidRDefault="00FA2A4A" w:rsidP="00FA2A4A">
                  <w:pPr>
                    <w:jc w:val="right"/>
                    <w:rPr>
                      <w:lang w:val="en-GB"/>
                    </w:rPr>
                  </w:pPr>
                </w:p>
              </w:tc>
            </w:tr>
          </w:tbl>
          <w:p w14:paraId="1138DF5B" w14:textId="5FAD82B6" w:rsidR="00E530FB" w:rsidRPr="00AB0C4E" w:rsidRDefault="00E530FB" w:rsidP="001F50DB">
            <w:pPr>
              <w:rPr>
                <w:lang w:val="en-GB"/>
              </w:rPr>
            </w:pPr>
          </w:p>
        </w:tc>
      </w:tr>
      <w:tr w:rsidR="000C1E9D" w:rsidRPr="00AB0C4E" w14:paraId="0E8F4417" w14:textId="77777777" w:rsidTr="001F50DB">
        <w:tc>
          <w:tcPr>
            <w:tcW w:w="1469" w:type="dxa"/>
            <w:shd w:val="clear" w:color="auto" w:fill="FFFFFF" w:themeFill="background1"/>
          </w:tcPr>
          <w:p w14:paraId="3FCC2DED" w14:textId="77777777" w:rsidR="000C1E9D" w:rsidRPr="00AB0C4E" w:rsidRDefault="000C1E9D" w:rsidP="001F50DB">
            <w:pPr>
              <w:jc w:val="right"/>
              <w:rPr>
                <w:lang w:val="en-GB"/>
              </w:rPr>
            </w:pPr>
          </w:p>
        </w:tc>
        <w:tc>
          <w:tcPr>
            <w:tcW w:w="12524" w:type="dxa"/>
            <w:shd w:val="clear" w:color="auto" w:fill="FFFFFF" w:themeFill="background1"/>
          </w:tcPr>
          <w:p w14:paraId="170AA601" w14:textId="5C174228" w:rsidR="000C1E9D" w:rsidRPr="00AB0C4E" w:rsidRDefault="000C1E9D" w:rsidP="001F50DB">
            <w:pPr>
              <w:rPr>
                <w:lang w:val="en-GB"/>
              </w:rPr>
            </w:pPr>
            <w:r w:rsidRPr="00AB0C4E">
              <w:rPr>
                <w:i/>
                <w:iCs/>
                <w:lang w:val="en-GB"/>
              </w:rPr>
              <w:t xml:space="preserve">Analysis: </w:t>
            </w:r>
            <w:r w:rsidR="00FA2A4A" w:rsidRPr="00AB0C4E">
              <w:rPr>
                <w:i/>
                <w:iCs/>
                <w:lang w:val="en-GB"/>
              </w:rPr>
              <w:t xml:space="preserve">management proposed presentation does not comply with the presentation requirements of IFRS. This is because this presentation </w:t>
            </w:r>
            <w:r w:rsidR="00756C22" w:rsidRPr="00AB0C4E">
              <w:rPr>
                <w:i/>
                <w:iCs/>
                <w:lang w:val="en-GB"/>
              </w:rPr>
              <w:t xml:space="preserve">presents figures in the financial statements that are not comprised of line items made up of amounts recognised and measured in accordance with IFRS (IAS 1.85A(a)). </w:t>
            </w:r>
            <w:r w:rsidR="00901DF7" w:rsidRPr="00AB0C4E">
              <w:rPr>
                <w:i/>
                <w:iCs/>
                <w:lang w:val="en-GB"/>
              </w:rPr>
              <w:t>Presenting the 2</w:t>
            </w:r>
            <w:r w:rsidR="009856B2" w:rsidRPr="00AB0C4E">
              <w:rPr>
                <w:i/>
                <w:iCs/>
                <w:lang w:val="en-GB"/>
              </w:rPr>
              <w:t>0</w:t>
            </w:r>
            <w:r w:rsidR="00901DF7" w:rsidRPr="00AB0C4E">
              <w:rPr>
                <w:i/>
                <w:iCs/>
                <w:lang w:val="en-GB"/>
              </w:rPr>
              <w:t xml:space="preserve">20 budget and variance from budget introduces pro forma information into the financial statements, which is not permitted </w:t>
            </w:r>
            <w:r w:rsidR="009856B2" w:rsidRPr="00AB0C4E">
              <w:rPr>
                <w:i/>
                <w:iCs/>
                <w:lang w:val="en-GB"/>
              </w:rPr>
              <w:t>by IAS 1. Comparison of actual results, which are comprised of figures recognised and measured in accordance with IFRS, with budgeted figures may be appropriate</w:t>
            </w:r>
            <w:r w:rsidR="00F001BF" w:rsidRPr="00AB0C4E">
              <w:rPr>
                <w:i/>
                <w:iCs/>
                <w:lang w:val="en-GB"/>
              </w:rPr>
              <w:t xml:space="preserve"> (or required in some instances)</w:t>
            </w:r>
            <w:r w:rsidR="009856B2" w:rsidRPr="00AB0C4E">
              <w:rPr>
                <w:i/>
                <w:iCs/>
                <w:lang w:val="en-GB"/>
              </w:rPr>
              <w:t xml:space="preserve"> in other documents, such as management commentary. </w:t>
            </w:r>
          </w:p>
        </w:tc>
      </w:tr>
    </w:tbl>
    <w:p w14:paraId="53D2B843" w14:textId="53BCEF18" w:rsidR="00A63E7C" w:rsidRDefault="00A63E7C" w:rsidP="006E22AC">
      <w:pPr>
        <w:rPr>
          <w:lang w:val="en-GB"/>
        </w:rPr>
      </w:pPr>
      <w:r>
        <w:rPr>
          <w:lang w:val="en-GB"/>
        </w:rPr>
        <w:br w:type="page"/>
      </w:r>
    </w:p>
    <w:p w14:paraId="46BF8076" w14:textId="79561820" w:rsidR="000C1E9D" w:rsidRPr="00AB0C4E" w:rsidRDefault="001818EF" w:rsidP="00605C11">
      <w:pPr>
        <w:pStyle w:val="2kopBDO"/>
        <w:rPr>
          <w:lang w:val="en-GB"/>
        </w:rPr>
      </w:pPr>
      <w:bookmarkStart w:id="8" w:name="B4"/>
      <w:r w:rsidRPr="00AB0C4E">
        <w:rPr>
          <w:lang w:val="en-GB"/>
        </w:rPr>
        <w:lastRenderedPageBreak/>
        <w:t xml:space="preserve">B.4 </w:t>
      </w:r>
      <w:bookmarkEnd w:id="8"/>
      <w:r w:rsidRPr="00AB0C4E">
        <w:rPr>
          <w:lang w:val="en-GB"/>
        </w:rPr>
        <w:t>– significant judgements and estimates</w:t>
      </w:r>
    </w:p>
    <w:tbl>
      <w:tblPr>
        <w:tblStyle w:val="TableGrid"/>
        <w:tblW w:w="13993" w:type="dxa"/>
        <w:tblLook w:val="04A0" w:firstRow="1" w:lastRow="0" w:firstColumn="1" w:lastColumn="0" w:noHBand="0" w:noVBand="1"/>
      </w:tblPr>
      <w:tblGrid>
        <w:gridCol w:w="1469"/>
        <w:gridCol w:w="12524"/>
      </w:tblGrid>
      <w:tr w:rsidR="000C1E9D" w:rsidRPr="00AB0C4E" w14:paraId="11840E50" w14:textId="77777777" w:rsidTr="001F50DB">
        <w:tc>
          <w:tcPr>
            <w:tcW w:w="13993" w:type="dxa"/>
            <w:gridSpan w:val="2"/>
            <w:shd w:val="clear" w:color="auto" w:fill="218F8B" w:themeFill="background2"/>
          </w:tcPr>
          <w:p w14:paraId="42E042C7" w14:textId="0BA9BCBC" w:rsidR="000C1E9D" w:rsidRPr="00AB0C4E" w:rsidRDefault="000C1E9D" w:rsidP="001F50DB">
            <w:pPr>
              <w:rPr>
                <w:color w:val="FFFFFF" w:themeColor="background1"/>
                <w:lang w:val="en-GB"/>
              </w:rPr>
            </w:pPr>
            <w:r w:rsidRPr="00AB0C4E">
              <w:rPr>
                <w:color w:val="FFFFFF" w:themeColor="background1"/>
                <w:lang w:val="en-GB"/>
              </w:rPr>
              <w:t>B.</w:t>
            </w:r>
            <w:r w:rsidR="00605C11" w:rsidRPr="00AB0C4E">
              <w:rPr>
                <w:color w:val="FFFFFF" w:themeColor="background1"/>
                <w:lang w:val="en-GB"/>
              </w:rPr>
              <w:t>4</w:t>
            </w:r>
            <w:r w:rsidRPr="00AB0C4E">
              <w:rPr>
                <w:color w:val="FFFFFF" w:themeColor="background1"/>
                <w:lang w:val="en-GB"/>
              </w:rPr>
              <w:t xml:space="preserve"> – </w:t>
            </w:r>
            <w:r w:rsidR="00A727C4" w:rsidRPr="00AB0C4E">
              <w:rPr>
                <w:color w:val="FFFFFF" w:themeColor="background1"/>
                <w:lang w:val="en-GB"/>
              </w:rPr>
              <w:t>Summary of significant judgements and estimates made in preparing 31 December 2020 financial statements</w:t>
            </w:r>
          </w:p>
          <w:p w14:paraId="306E968C" w14:textId="77777777" w:rsidR="000C1E9D" w:rsidRPr="00AB0C4E" w:rsidRDefault="000C1E9D" w:rsidP="001F50DB">
            <w:pPr>
              <w:rPr>
                <w:color w:val="FFFFFF" w:themeColor="background1"/>
                <w:lang w:val="en-GB"/>
              </w:rPr>
            </w:pPr>
          </w:p>
          <w:p w14:paraId="1D9252ED" w14:textId="130D3117" w:rsidR="000C1E9D" w:rsidRPr="00AB0C4E" w:rsidRDefault="000C1E9D" w:rsidP="001F50DB">
            <w:pPr>
              <w:rPr>
                <w:color w:val="FFFFFF" w:themeColor="background1"/>
                <w:lang w:val="en-GB"/>
              </w:rPr>
            </w:pPr>
            <w:r w:rsidRPr="00AB0C4E">
              <w:rPr>
                <w:color w:val="FFFFFF" w:themeColor="background1"/>
                <w:lang w:val="en-GB"/>
              </w:rPr>
              <w:t>Additional information:</w:t>
            </w:r>
            <w:r w:rsidR="00A727C4" w:rsidRPr="00AB0C4E">
              <w:rPr>
                <w:color w:val="FFFFFF" w:themeColor="background1"/>
                <w:lang w:val="en-GB"/>
              </w:rPr>
              <w:t xml:space="preserve"> </w:t>
            </w:r>
            <w:r w:rsidR="00E76F36" w:rsidRPr="00AB0C4E">
              <w:rPr>
                <w:color w:val="FFFFFF" w:themeColor="background1"/>
                <w:lang w:val="en-GB"/>
              </w:rPr>
              <w:t xml:space="preserve">in preparing its 31 December 2020 financial statements, Z Layout’s management has determined that a number of significant judgements and estimates had to be made in the process of applying Z Layout’s accounting policies. </w:t>
            </w:r>
          </w:p>
        </w:tc>
      </w:tr>
      <w:tr w:rsidR="000C1E9D" w:rsidRPr="00AB0C4E" w14:paraId="2FD25DF1" w14:textId="77777777" w:rsidTr="001F50DB">
        <w:tc>
          <w:tcPr>
            <w:tcW w:w="1469" w:type="dxa"/>
            <w:shd w:val="clear" w:color="auto" w:fill="657C91" w:themeFill="accent4"/>
          </w:tcPr>
          <w:p w14:paraId="1225E018" w14:textId="77777777" w:rsidR="000C1E9D" w:rsidRPr="00AB0C4E" w:rsidRDefault="000C1E9D" w:rsidP="001F50DB">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5212A1B4" w14:textId="77777777" w:rsidR="000C1E9D" w:rsidRPr="00AB0C4E" w:rsidRDefault="000C1E9D" w:rsidP="001F50DB">
            <w:pPr>
              <w:rPr>
                <w:color w:val="FFFFFF" w:themeColor="background1"/>
                <w:lang w:val="en-GB"/>
              </w:rPr>
            </w:pPr>
            <w:r w:rsidRPr="00AB0C4E">
              <w:rPr>
                <w:color w:val="FFFFFF" w:themeColor="background1"/>
                <w:lang w:val="en-GB"/>
              </w:rPr>
              <w:t xml:space="preserve">Illustrative disclosure </w:t>
            </w:r>
          </w:p>
        </w:tc>
      </w:tr>
      <w:tr w:rsidR="000C1E9D" w:rsidRPr="00AB0C4E" w14:paraId="542539DC" w14:textId="77777777" w:rsidTr="001F50DB">
        <w:tc>
          <w:tcPr>
            <w:tcW w:w="1469" w:type="dxa"/>
            <w:shd w:val="clear" w:color="auto" w:fill="FFFFFF" w:themeFill="background1"/>
          </w:tcPr>
          <w:p w14:paraId="45420717" w14:textId="77777777" w:rsidR="00677B1A" w:rsidRPr="00AB0C4E" w:rsidRDefault="00677B1A" w:rsidP="00677B1A">
            <w:pPr>
              <w:widowControl w:val="0"/>
              <w:tabs>
                <w:tab w:val="left" w:pos="567"/>
              </w:tabs>
              <w:rPr>
                <w:lang w:val="en-GB"/>
              </w:rPr>
            </w:pPr>
          </w:p>
          <w:p w14:paraId="34BD65AA" w14:textId="77777777" w:rsidR="00677B1A" w:rsidRPr="00AB0C4E" w:rsidRDefault="00677B1A" w:rsidP="00677B1A">
            <w:pPr>
              <w:widowControl w:val="0"/>
              <w:tabs>
                <w:tab w:val="left" w:pos="567"/>
              </w:tabs>
              <w:rPr>
                <w:lang w:val="en-GB"/>
              </w:rPr>
            </w:pPr>
          </w:p>
          <w:p w14:paraId="3DE107B0" w14:textId="77777777" w:rsidR="00677B1A" w:rsidRPr="00AB0C4E" w:rsidRDefault="00677B1A" w:rsidP="00677B1A">
            <w:pPr>
              <w:widowControl w:val="0"/>
              <w:tabs>
                <w:tab w:val="left" w:pos="567"/>
              </w:tabs>
              <w:rPr>
                <w:lang w:val="en-GB"/>
              </w:rPr>
            </w:pPr>
          </w:p>
          <w:p w14:paraId="3B805A8D" w14:textId="77777777" w:rsidR="00677B1A" w:rsidRPr="00AB0C4E" w:rsidRDefault="00677B1A" w:rsidP="00677B1A">
            <w:pPr>
              <w:widowControl w:val="0"/>
              <w:tabs>
                <w:tab w:val="left" w:pos="567"/>
              </w:tabs>
              <w:rPr>
                <w:lang w:val="en-GB"/>
              </w:rPr>
            </w:pPr>
          </w:p>
          <w:p w14:paraId="22B1072D" w14:textId="77777777" w:rsidR="00677B1A" w:rsidRPr="00AB0C4E" w:rsidRDefault="00677B1A" w:rsidP="00677B1A">
            <w:pPr>
              <w:widowControl w:val="0"/>
              <w:tabs>
                <w:tab w:val="left" w:pos="567"/>
              </w:tabs>
              <w:rPr>
                <w:lang w:val="en-GB"/>
              </w:rPr>
            </w:pPr>
          </w:p>
          <w:p w14:paraId="7DA1AB82" w14:textId="77777777" w:rsidR="00677B1A" w:rsidRPr="00AB0C4E" w:rsidRDefault="00677B1A" w:rsidP="00677B1A">
            <w:pPr>
              <w:widowControl w:val="0"/>
              <w:tabs>
                <w:tab w:val="left" w:pos="567"/>
              </w:tabs>
              <w:rPr>
                <w:lang w:val="en-GB"/>
              </w:rPr>
            </w:pPr>
          </w:p>
          <w:p w14:paraId="5C7CBE28" w14:textId="77777777" w:rsidR="00677B1A" w:rsidRPr="00AB0C4E" w:rsidRDefault="00677B1A" w:rsidP="00677B1A">
            <w:pPr>
              <w:widowControl w:val="0"/>
              <w:tabs>
                <w:tab w:val="left" w:pos="567"/>
              </w:tabs>
              <w:rPr>
                <w:lang w:val="en-GB"/>
              </w:rPr>
            </w:pPr>
          </w:p>
          <w:p w14:paraId="348B5C13" w14:textId="77777777" w:rsidR="00677B1A" w:rsidRPr="00AB0C4E" w:rsidRDefault="00677B1A" w:rsidP="00677B1A">
            <w:pPr>
              <w:widowControl w:val="0"/>
              <w:tabs>
                <w:tab w:val="left" w:pos="567"/>
              </w:tabs>
              <w:rPr>
                <w:lang w:val="en-GB"/>
              </w:rPr>
            </w:pPr>
          </w:p>
          <w:p w14:paraId="307376F4" w14:textId="61580D22" w:rsidR="00A46B7F" w:rsidRPr="00AB0C4E" w:rsidRDefault="001F7872" w:rsidP="00677B1A">
            <w:pPr>
              <w:widowControl w:val="0"/>
              <w:tabs>
                <w:tab w:val="left" w:pos="567"/>
              </w:tabs>
              <w:jc w:val="right"/>
              <w:rPr>
                <w:lang w:val="en-GB"/>
              </w:rPr>
            </w:pPr>
            <w:r w:rsidRPr="00AB0C4E">
              <w:rPr>
                <w:lang w:val="en-GB"/>
              </w:rPr>
              <w:t>IAS 1.122</w:t>
            </w:r>
          </w:p>
          <w:p w14:paraId="2B120494" w14:textId="77777777" w:rsidR="00677B1A" w:rsidRPr="00AB0C4E" w:rsidRDefault="00677B1A" w:rsidP="00677B1A">
            <w:pPr>
              <w:widowControl w:val="0"/>
              <w:tabs>
                <w:tab w:val="left" w:pos="567"/>
              </w:tabs>
              <w:rPr>
                <w:lang w:val="en-GB"/>
              </w:rPr>
            </w:pPr>
          </w:p>
          <w:p w14:paraId="4373E151" w14:textId="77777777" w:rsidR="00677B1A" w:rsidRPr="00AB0C4E" w:rsidRDefault="00677B1A" w:rsidP="00677B1A">
            <w:pPr>
              <w:widowControl w:val="0"/>
              <w:tabs>
                <w:tab w:val="left" w:pos="567"/>
              </w:tabs>
              <w:rPr>
                <w:lang w:val="en-GB"/>
              </w:rPr>
            </w:pPr>
          </w:p>
          <w:p w14:paraId="0C474391" w14:textId="77777777" w:rsidR="00677B1A" w:rsidRPr="00AB0C4E" w:rsidRDefault="00677B1A" w:rsidP="00677B1A">
            <w:pPr>
              <w:widowControl w:val="0"/>
              <w:tabs>
                <w:tab w:val="left" w:pos="567"/>
              </w:tabs>
              <w:rPr>
                <w:lang w:val="en-GB"/>
              </w:rPr>
            </w:pPr>
          </w:p>
          <w:p w14:paraId="40A7AA33" w14:textId="77777777" w:rsidR="00677B1A" w:rsidRPr="00AB0C4E" w:rsidRDefault="00677B1A" w:rsidP="00677B1A">
            <w:pPr>
              <w:widowControl w:val="0"/>
              <w:tabs>
                <w:tab w:val="left" w:pos="567"/>
              </w:tabs>
              <w:rPr>
                <w:lang w:val="en-GB"/>
              </w:rPr>
            </w:pPr>
          </w:p>
          <w:p w14:paraId="5EB7A433" w14:textId="77777777" w:rsidR="00677B1A" w:rsidRPr="00AB0C4E" w:rsidRDefault="00677B1A" w:rsidP="00677B1A">
            <w:pPr>
              <w:widowControl w:val="0"/>
              <w:tabs>
                <w:tab w:val="left" w:pos="567"/>
              </w:tabs>
              <w:rPr>
                <w:lang w:val="en-GB"/>
              </w:rPr>
            </w:pPr>
          </w:p>
          <w:p w14:paraId="4A6D72DB" w14:textId="77777777" w:rsidR="00677B1A" w:rsidRPr="00AB0C4E" w:rsidRDefault="00677B1A" w:rsidP="00677B1A">
            <w:pPr>
              <w:widowControl w:val="0"/>
              <w:tabs>
                <w:tab w:val="left" w:pos="567"/>
              </w:tabs>
              <w:rPr>
                <w:lang w:val="en-GB"/>
              </w:rPr>
            </w:pPr>
          </w:p>
          <w:p w14:paraId="0C4D85D1" w14:textId="77777777" w:rsidR="00677B1A" w:rsidRPr="00AB0C4E" w:rsidRDefault="00677B1A" w:rsidP="00677B1A">
            <w:pPr>
              <w:widowControl w:val="0"/>
              <w:tabs>
                <w:tab w:val="left" w:pos="567"/>
              </w:tabs>
              <w:rPr>
                <w:lang w:val="en-GB"/>
              </w:rPr>
            </w:pPr>
          </w:p>
          <w:p w14:paraId="2402E6C7" w14:textId="77777777" w:rsidR="00677B1A" w:rsidRPr="00AB0C4E" w:rsidRDefault="00677B1A" w:rsidP="00677B1A">
            <w:pPr>
              <w:widowControl w:val="0"/>
              <w:tabs>
                <w:tab w:val="left" w:pos="567"/>
              </w:tabs>
              <w:rPr>
                <w:lang w:val="en-GB"/>
              </w:rPr>
            </w:pPr>
          </w:p>
          <w:p w14:paraId="51FE49BB" w14:textId="77777777" w:rsidR="00677B1A" w:rsidRPr="00AB0C4E" w:rsidRDefault="00677B1A" w:rsidP="00677B1A">
            <w:pPr>
              <w:widowControl w:val="0"/>
              <w:tabs>
                <w:tab w:val="left" w:pos="567"/>
              </w:tabs>
              <w:rPr>
                <w:lang w:val="en-GB"/>
              </w:rPr>
            </w:pPr>
          </w:p>
          <w:p w14:paraId="1FD1B8C6" w14:textId="77777777" w:rsidR="00677B1A" w:rsidRPr="00AB0C4E" w:rsidRDefault="00677B1A" w:rsidP="00677B1A">
            <w:pPr>
              <w:widowControl w:val="0"/>
              <w:tabs>
                <w:tab w:val="left" w:pos="567"/>
              </w:tabs>
              <w:rPr>
                <w:lang w:val="en-GB"/>
              </w:rPr>
            </w:pPr>
          </w:p>
          <w:p w14:paraId="6256A615" w14:textId="77777777" w:rsidR="00677B1A" w:rsidRPr="00AB0C4E" w:rsidRDefault="001F7872" w:rsidP="00677B1A">
            <w:pPr>
              <w:widowControl w:val="0"/>
              <w:tabs>
                <w:tab w:val="left" w:pos="567"/>
              </w:tabs>
              <w:jc w:val="right"/>
              <w:rPr>
                <w:lang w:val="en-GB"/>
              </w:rPr>
            </w:pPr>
            <w:r w:rsidRPr="00AB0C4E">
              <w:rPr>
                <w:lang w:val="en-GB"/>
              </w:rPr>
              <w:t>IAS 1.125</w:t>
            </w:r>
          </w:p>
          <w:p w14:paraId="58CEE138" w14:textId="77777777" w:rsidR="00677B1A" w:rsidRPr="00AB0C4E" w:rsidRDefault="00677B1A" w:rsidP="00677B1A">
            <w:pPr>
              <w:widowControl w:val="0"/>
              <w:tabs>
                <w:tab w:val="left" w:pos="567"/>
              </w:tabs>
              <w:rPr>
                <w:lang w:val="en-GB"/>
              </w:rPr>
            </w:pPr>
          </w:p>
          <w:p w14:paraId="7322B6D9" w14:textId="77777777" w:rsidR="00677B1A" w:rsidRPr="00AB0C4E" w:rsidRDefault="00677B1A" w:rsidP="00677B1A">
            <w:pPr>
              <w:widowControl w:val="0"/>
              <w:tabs>
                <w:tab w:val="left" w:pos="567"/>
              </w:tabs>
              <w:rPr>
                <w:lang w:val="en-GB"/>
              </w:rPr>
            </w:pPr>
          </w:p>
          <w:p w14:paraId="0D41FE9A" w14:textId="77777777" w:rsidR="00677B1A" w:rsidRPr="00AB0C4E" w:rsidRDefault="00677B1A" w:rsidP="00677B1A">
            <w:pPr>
              <w:widowControl w:val="0"/>
              <w:tabs>
                <w:tab w:val="left" w:pos="567"/>
              </w:tabs>
              <w:rPr>
                <w:lang w:val="en-GB"/>
              </w:rPr>
            </w:pPr>
          </w:p>
          <w:p w14:paraId="6C94BC08" w14:textId="77777777" w:rsidR="00677B1A" w:rsidRPr="00AB0C4E" w:rsidRDefault="00677B1A" w:rsidP="00677B1A">
            <w:pPr>
              <w:widowControl w:val="0"/>
              <w:tabs>
                <w:tab w:val="left" w:pos="567"/>
              </w:tabs>
              <w:rPr>
                <w:lang w:val="en-GB"/>
              </w:rPr>
            </w:pPr>
          </w:p>
          <w:p w14:paraId="599F3D8C" w14:textId="77777777" w:rsidR="00677B1A" w:rsidRPr="00AB0C4E" w:rsidRDefault="00677B1A" w:rsidP="00677B1A">
            <w:pPr>
              <w:widowControl w:val="0"/>
              <w:tabs>
                <w:tab w:val="left" w:pos="567"/>
              </w:tabs>
              <w:rPr>
                <w:lang w:val="en-GB"/>
              </w:rPr>
            </w:pPr>
          </w:p>
          <w:p w14:paraId="6F6F1160" w14:textId="77777777" w:rsidR="00677B1A" w:rsidRPr="00AB0C4E" w:rsidRDefault="00677B1A" w:rsidP="00677B1A">
            <w:pPr>
              <w:widowControl w:val="0"/>
              <w:tabs>
                <w:tab w:val="left" w:pos="567"/>
              </w:tabs>
              <w:rPr>
                <w:lang w:val="en-GB"/>
              </w:rPr>
            </w:pPr>
          </w:p>
          <w:p w14:paraId="2E5FA481" w14:textId="77777777" w:rsidR="00677B1A" w:rsidRPr="00AB0C4E" w:rsidRDefault="00677B1A" w:rsidP="00677B1A">
            <w:pPr>
              <w:widowControl w:val="0"/>
              <w:tabs>
                <w:tab w:val="left" w:pos="567"/>
              </w:tabs>
              <w:rPr>
                <w:lang w:val="en-GB"/>
              </w:rPr>
            </w:pPr>
          </w:p>
          <w:p w14:paraId="1B23843C" w14:textId="77777777" w:rsidR="00677B1A" w:rsidRPr="00AB0C4E" w:rsidRDefault="00677B1A" w:rsidP="00677B1A">
            <w:pPr>
              <w:widowControl w:val="0"/>
              <w:tabs>
                <w:tab w:val="left" w:pos="567"/>
              </w:tabs>
              <w:rPr>
                <w:lang w:val="en-GB"/>
              </w:rPr>
            </w:pPr>
          </w:p>
          <w:p w14:paraId="0518FEEA" w14:textId="77777777" w:rsidR="00FD2953" w:rsidRPr="00AB0C4E" w:rsidRDefault="00FD2953" w:rsidP="00677B1A">
            <w:pPr>
              <w:widowControl w:val="0"/>
              <w:tabs>
                <w:tab w:val="left" w:pos="567"/>
              </w:tabs>
              <w:rPr>
                <w:lang w:val="en-GB"/>
              </w:rPr>
            </w:pPr>
          </w:p>
          <w:p w14:paraId="346AC171" w14:textId="07D5E00A" w:rsidR="00A3650D" w:rsidRPr="00AB0C4E" w:rsidRDefault="00A3650D" w:rsidP="00E34B15">
            <w:pPr>
              <w:widowControl w:val="0"/>
              <w:tabs>
                <w:tab w:val="left" w:pos="567"/>
              </w:tabs>
              <w:rPr>
                <w:lang w:val="en-GB"/>
              </w:rPr>
            </w:pPr>
          </w:p>
        </w:tc>
        <w:tc>
          <w:tcPr>
            <w:tcW w:w="12524" w:type="dxa"/>
            <w:shd w:val="clear" w:color="auto" w:fill="FFFFFF" w:themeFill="background1"/>
          </w:tcPr>
          <w:p w14:paraId="09300E2E" w14:textId="7058D2B4" w:rsidR="001F7872" w:rsidRPr="00AB0C4E" w:rsidRDefault="001F7872" w:rsidP="00677B1A">
            <w:pPr>
              <w:widowControl w:val="0"/>
              <w:tabs>
                <w:tab w:val="left" w:pos="567"/>
              </w:tabs>
              <w:rPr>
                <w:lang w:val="en-GB"/>
              </w:rPr>
            </w:pPr>
            <w:r w:rsidRPr="00AB0C4E">
              <w:rPr>
                <w:lang w:val="en-GB"/>
              </w:rPr>
              <w:t>The Company makes certain estimates and assumptions regarding the future.  Estimates and judgements are continually evaluated based on historical experience and other factors, including expectations of future events that are believed to be reasonable under the circumstances.  In the future, actual experience may differ from these estimates and assumptions.  The estimates and assumptions that have a significant risk of causing a material adjustment to the carrying amounts of assets and liabilities within the next financial year are discussed below.</w:t>
            </w:r>
            <w:r w:rsidR="00C44791" w:rsidRPr="00AB0C4E">
              <w:rPr>
                <w:lang w:val="en-GB"/>
              </w:rPr>
              <w:t xml:space="preserve"> The effects of COVID-19 have resulted in certain judgements and estimates being significant in the current period when they had not been in the past. This is due to the uncertainty introduced by the effects of the pandemic, such as collection risk for customers, the cash flows included in estimates of recoverable amounts, etc.</w:t>
            </w:r>
          </w:p>
          <w:p w14:paraId="139CC2DF" w14:textId="77777777" w:rsidR="001F7872" w:rsidRPr="00AB0C4E" w:rsidRDefault="001F7872" w:rsidP="00677B1A">
            <w:pPr>
              <w:widowControl w:val="0"/>
              <w:tabs>
                <w:tab w:val="left" w:pos="567"/>
              </w:tabs>
              <w:ind w:left="127"/>
              <w:rPr>
                <w:lang w:val="en-GB"/>
              </w:rPr>
            </w:pPr>
          </w:p>
          <w:p w14:paraId="58429427" w14:textId="4FE5F4EF" w:rsidR="001F7872" w:rsidRPr="00AB0C4E" w:rsidRDefault="001F7872" w:rsidP="00677B1A">
            <w:pPr>
              <w:widowControl w:val="0"/>
              <w:tabs>
                <w:tab w:val="left" w:pos="567"/>
              </w:tabs>
              <w:ind w:left="567"/>
              <w:rPr>
                <w:i/>
                <w:lang w:val="en-GB"/>
              </w:rPr>
            </w:pPr>
            <w:r w:rsidRPr="00AB0C4E">
              <w:rPr>
                <w:i/>
                <w:lang w:val="en-GB"/>
              </w:rPr>
              <w:t>Judgements</w:t>
            </w:r>
          </w:p>
          <w:p w14:paraId="43F246DF" w14:textId="77777777" w:rsidR="00C44791" w:rsidRPr="00AB0C4E" w:rsidRDefault="00C44791" w:rsidP="00677B1A">
            <w:pPr>
              <w:widowControl w:val="0"/>
              <w:tabs>
                <w:tab w:val="left" w:pos="567"/>
              </w:tabs>
              <w:ind w:left="567"/>
              <w:rPr>
                <w:i/>
                <w:lang w:val="en-GB"/>
              </w:rPr>
            </w:pPr>
          </w:p>
          <w:p w14:paraId="7EE9E1D9" w14:textId="77777777" w:rsidR="00677B1A" w:rsidRPr="00AB0C4E" w:rsidRDefault="00923980" w:rsidP="00677B1A">
            <w:pPr>
              <w:pStyle w:val="ListParagraph"/>
              <w:widowControl w:val="0"/>
              <w:numPr>
                <w:ilvl w:val="0"/>
                <w:numId w:val="32"/>
              </w:numPr>
              <w:tabs>
                <w:tab w:val="left" w:pos="567"/>
                <w:tab w:val="left" w:pos="660"/>
                <w:tab w:val="left" w:pos="2410"/>
              </w:tabs>
              <w:ind w:left="986" w:hanging="357"/>
            </w:pPr>
            <w:r w:rsidRPr="00AB0C4E">
              <w:t>The Company’s assessment of its ability to continue as a going concern (see note X)</w:t>
            </w:r>
          </w:p>
          <w:p w14:paraId="0D3A74A9" w14:textId="37CE42EA" w:rsidR="001F7872" w:rsidRPr="00AB0C4E" w:rsidRDefault="00C44791" w:rsidP="00677B1A">
            <w:pPr>
              <w:pStyle w:val="ListParagraph"/>
              <w:widowControl w:val="0"/>
              <w:numPr>
                <w:ilvl w:val="0"/>
                <w:numId w:val="32"/>
              </w:numPr>
              <w:tabs>
                <w:tab w:val="left" w:pos="567"/>
                <w:tab w:val="left" w:pos="660"/>
                <w:tab w:val="left" w:pos="2410"/>
              </w:tabs>
              <w:ind w:left="986" w:hanging="357"/>
            </w:pPr>
            <w:r w:rsidRPr="00AB0C4E">
              <w:t>Determining whether a contract is or contains a lease (</w:t>
            </w:r>
            <w:r w:rsidR="005D4990" w:rsidRPr="00AB0C4E">
              <w:t xml:space="preserve">see </w:t>
            </w:r>
            <w:r w:rsidRPr="00AB0C4E">
              <w:t>note X)</w:t>
            </w:r>
          </w:p>
          <w:p w14:paraId="169A3EBB" w14:textId="0C3A0B5C" w:rsidR="001F7872" w:rsidRPr="00AB0C4E" w:rsidRDefault="001F7872" w:rsidP="00677B1A">
            <w:pPr>
              <w:pStyle w:val="ListParagraph"/>
              <w:widowControl w:val="0"/>
              <w:numPr>
                <w:ilvl w:val="0"/>
                <w:numId w:val="32"/>
              </w:numPr>
              <w:tabs>
                <w:tab w:val="left" w:pos="567"/>
                <w:tab w:val="left" w:pos="660"/>
                <w:tab w:val="left" w:pos="2410"/>
              </w:tabs>
              <w:ind w:left="986" w:hanging="357"/>
            </w:pPr>
            <w:r w:rsidRPr="00AB0C4E">
              <w:t>Assessment of de-facto control (</w:t>
            </w:r>
            <w:r w:rsidR="005D4990" w:rsidRPr="00AB0C4E">
              <w:t xml:space="preserve">see </w:t>
            </w:r>
            <w:r w:rsidR="00B5454B" w:rsidRPr="00AB0C4E">
              <w:t>note X</w:t>
            </w:r>
            <w:r w:rsidRPr="00AB0C4E">
              <w:t>)</w:t>
            </w:r>
          </w:p>
          <w:p w14:paraId="7563E18F" w14:textId="43B99C54" w:rsidR="00B5454B" w:rsidRPr="00AB0C4E" w:rsidRDefault="00923980" w:rsidP="00677B1A">
            <w:pPr>
              <w:pStyle w:val="ListParagraph"/>
              <w:widowControl w:val="0"/>
              <w:numPr>
                <w:ilvl w:val="0"/>
                <w:numId w:val="32"/>
              </w:numPr>
              <w:tabs>
                <w:tab w:val="left" w:pos="567"/>
                <w:tab w:val="left" w:pos="660"/>
                <w:tab w:val="left" w:pos="2410"/>
              </w:tabs>
              <w:ind w:left="986" w:hanging="357"/>
            </w:pPr>
            <w:r w:rsidRPr="00AB0C4E">
              <w:t xml:space="preserve">Determining </w:t>
            </w:r>
            <w:r w:rsidR="00601C00" w:rsidRPr="00AB0C4E">
              <w:t xml:space="preserve">the </w:t>
            </w:r>
            <w:r w:rsidRPr="00AB0C4E">
              <w:t xml:space="preserve">appropriate valuation techniques </w:t>
            </w:r>
            <w:r w:rsidR="00601C00" w:rsidRPr="00AB0C4E">
              <w:t>to estimate the fair value of investment properties (see note X) and investments in unquoted equity instruments (see note X)</w:t>
            </w:r>
          </w:p>
          <w:p w14:paraId="36653C6A" w14:textId="18360BC9" w:rsidR="001F7872" w:rsidRPr="00AB0C4E" w:rsidRDefault="00601C00" w:rsidP="00677B1A">
            <w:pPr>
              <w:pStyle w:val="ListParagraph"/>
              <w:widowControl w:val="0"/>
              <w:numPr>
                <w:ilvl w:val="0"/>
                <w:numId w:val="32"/>
              </w:numPr>
              <w:tabs>
                <w:tab w:val="left" w:pos="567"/>
                <w:tab w:val="left" w:pos="660"/>
                <w:tab w:val="left" w:pos="2410"/>
              </w:tabs>
              <w:ind w:left="986" w:hanging="357"/>
            </w:pPr>
            <w:r w:rsidRPr="00AB0C4E">
              <w:t xml:space="preserve">Assessing whether the Company will satisfy the qualitative and quantitative stipulations </w:t>
            </w:r>
            <w:r w:rsidR="00A46B7F" w:rsidRPr="00AB0C4E">
              <w:t xml:space="preserve">relating to conditionally forgivable government loans (see note X) </w:t>
            </w:r>
          </w:p>
          <w:p w14:paraId="14CAAC36" w14:textId="77777777" w:rsidR="001F7872" w:rsidRPr="00AB0C4E" w:rsidRDefault="001F7872" w:rsidP="00677B1A">
            <w:pPr>
              <w:widowControl w:val="0"/>
              <w:tabs>
                <w:tab w:val="left" w:pos="567"/>
              </w:tabs>
              <w:ind w:left="548"/>
              <w:rPr>
                <w:i/>
                <w:lang w:val="en-GB"/>
              </w:rPr>
            </w:pPr>
          </w:p>
          <w:p w14:paraId="3D338180" w14:textId="77777777" w:rsidR="00677B1A" w:rsidRPr="00AB0C4E" w:rsidRDefault="00677B1A" w:rsidP="00677B1A">
            <w:pPr>
              <w:widowControl w:val="0"/>
              <w:tabs>
                <w:tab w:val="left" w:pos="567"/>
              </w:tabs>
              <w:ind w:left="548"/>
              <w:rPr>
                <w:i/>
                <w:lang w:val="en-GB"/>
              </w:rPr>
            </w:pPr>
          </w:p>
          <w:p w14:paraId="64CB75FD" w14:textId="74CED0F7" w:rsidR="001F7872" w:rsidRPr="00AB0C4E" w:rsidRDefault="001F7872" w:rsidP="00677B1A">
            <w:pPr>
              <w:widowControl w:val="0"/>
              <w:tabs>
                <w:tab w:val="left" w:pos="567"/>
              </w:tabs>
              <w:ind w:left="548"/>
              <w:rPr>
                <w:i/>
                <w:lang w:val="en-GB"/>
              </w:rPr>
            </w:pPr>
            <w:r w:rsidRPr="00AB0C4E">
              <w:rPr>
                <w:i/>
                <w:lang w:val="en-GB"/>
              </w:rPr>
              <w:t>Estimates and assumptions</w:t>
            </w:r>
          </w:p>
          <w:p w14:paraId="6C7A4FB0" w14:textId="77777777" w:rsidR="001F7872" w:rsidRPr="00AB0C4E" w:rsidRDefault="001F7872" w:rsidP="00677B1A">
            <w:pPr>
              <w:widowControl w:val="0"/>
              <w:tabs>
                <w:tab w:val="left" w:pos="567"/>
              </w:tabs>
              <w:ind w:left="800" w:hanging="252"/>
              <w:rPr>
                <w:lang w:val="en-GB"/>
              </w:rPr>
            </w:pPr>
          </w:p>
          <w:p w14:paraId="060C50F5" w14:textId="3D39D98C" w:rsidR="001F7872" w:rsidRPr="00AB0C4E" w:rsidRDefault="001F7872" w:rsidP="00677B1A">
            <w:pPr>
              <w:widowControl w:val="0"/>
              <w:numPr>
                <w:ilvl w:val="0"/>
                <w:numId w:val="33"/>
              </w:numPr>
              <w:tabs>
                <w:tab w:val="left" w:pos="567"/>
                <w:tab w:val="left" w:pos="2410"/>
              </w:tabs>
              <w:ind w:left="1775" w:hanging="357"/>
              <w:jc w:val="both"/>
              <w:rPr>
                <w:lang w:val="en-GB"/>
              </w:rPr>
            </w:pPr>
            <w:r w:rsidRPr="00AB0C4E">
              <w:rPr>
                <w:lang w:val="en-GB"/>
              </w:rPr>
              <w:t>Impairment of goodwill</w:t>
            </w:r>
            <w:r w:rsidR="00601C00" w:rsidRPr="00AB0C4E">
              <w:rPr>
                <w:lang w:val="en-GB"/>
              </w:rPr>
              <w:t xml:space="preserve"> and other long-lived assets</w:t>
            </w:r>
            <w:r w:rsidRPr="00AB0C4E">
              <w:rPr>
                <w:lang w:val="en-GB"/>
              </w:rPr>
              <w:t xml:space="preserve"> – Estimate of future cash flows and determination of the discount rate (see note </w:t>
            </w:r>
            <w:r w:rsidR="005D4990" w:rsidRPr="00AB0C4E">
              <w:rPr>
                <w:lang w:val="en-GB"/>
              </w:rPr>
              <w:t>X</w:t>
            </w:r>
            <w:r w:rsidRPr="00AB0C4E">
              <w:rPr>
                <w:lang w:val="en-GB"/>
              </w:rPr>
              <w:t>)</w:t>
            </w:r>
          </w:p>
          <w:p w14:paraId="6F5BA0A1" w14:textId="344129D5" w:rsidR="00601C00" w:rsidRPr="00AB0C4E" w:rsidRDefault="00601C00" w:rsidP="00677B1A">
            <w:pPr>
              <w:widowControl w:val="0"/>
              <w:numPr>
                <w:ilvl w:val="0"/>
                <w:numId w:val="33"/>
              </w:numPr>
              <w:tabs>
                <w:tab w:val="left" w:pos="567"/>
                <w:tab w:val="left" w:pos="2410"/>
              </w:tabs>
              <w:ind w:left="1775" w:hanging="357"/>
              <w:jc w:val="both"/>
              <w:rPr>
                <w:lang w:val="en-GB"/>
              </w:rPr>
            </w:pPr>
            <w:r w:rsidRPr="00AB0C4E">
              <w:rPr>
                <w:lang w:val="en-GB"/>
              </w:rPr>
              <w:t xml:space="preserve">Estimating the amount of restructuring provisions, including termination benefits (see note </w:t>
            </w:r>
            <w:r w:rsidR="00A46B7F" w:rsidRPr="00AB0C4E">
              <w:rPr>
                <w:lang w:val="en-GB"/>
              </w:rPr>
              <w:t>X</w:t>
            </w:r>
            <w:r w:rsidRPr="00AB0C4E">
              <w:rPr>
                <w:lang w:val="en-GB"/>
              </w:rPr>
              <w:t>)</w:t>
            </w:r>
          </w:p>
          <w:p w14:paraId="42EE9B28" w14:textId="6D46D9B3" w:rsidR="00A46B7F" w:rsidRPr="00AB0C4E" w:rsidRDefault="00A46B7F" w:rsidP="00677B1A">
            <w:pPr>
              <w:widowControl w:val="0"/>
              <w:numPr>
                <w:ilvl w:val="0"/>
                <w:numId w:val="33"/>
              </w:numPr>
              <w:tabs>
                <w:tab w:val="clear" w:pos="1778"/>
                <w:tab w:val="left" w:pos="567"/>
                <w:tab w:val="num" w:pos="990"/>
                <w:tab w:val="left" w:pos="2410"/>
              </w:tabs>
              <w:ind w:left="1775" w:hanging="357"/>
              <w:jc w:val="both"/>
              <w:rPr>
                <w:lang w:val="en-GB"/>
              </w:rPr>
            </w:pPr>
            <w:r w:rsidRPr="00AB0C4E">
              <w:rPr>
                <w:lang w:val="en-GB"/>
              </w:rPr>
              <w:t>Estimating expected credit losses for trade receivables, including the incorporation of forward-looking information to adjust historic loss rates (see note X)</w:t>
            </w:r>
          </w:p>
          <w:p w14:paraId="218A8353" w14:textId="1BDBEE13" w:rsidR="001F7872" w:rsidRPr="00AB0C4E" w:rsidRDefault="001F7872" w:rsidP="00677B1A">
            <w:pPr>
              <w:widowControl w:val="0"/>
              <w:numPr>
                <w:ilvl w:val="0"/>
                <w:numId w:val="33"/>
              </w:numPr>
              <w:tabs>
                <w:tab w:val="clear" w:pos="1778"/>
                <w:tab w:val="left" w:pos="567"/>
                <w:tab w:val="num" w:pos="990"/>
                <w:tab w:val="left" w:pos="2410"/>
              </w:tabs>
              <w:ind w:left="1775" w:hanging="357"/>
              <w:jc w:val="both"/>
              <w:rPr>
                <w:lang w:val="en-GB"/>
              </w:rPr>
            </w:pPr>
            <w:r w:rsidRPr="00AB0C4E">
              <w:rPr>
                <w:lang w:val="en-GB"/>
              </w:rPr>
              <w:t>Defined benefit scheme</w:t>
            </w:r>
            <w:r w:rsidR="005D4990" w:rsidRPr="00AB0C4E">
              <w:rPr>
                <w:lang w:val="en-GB"/>
              </w:rPr>
              <w:t xml:space="preserve"> </w:t>
            </w:r>
            <w:r w:rsidRPr="00AB0C4E">
              <w:rPr>
                <w:lang w:val="en-GB"/>
              </w:rPr>
              <w:t xml:space="preserve">– actuarial assumptions (see note </w:t>
            </w:r>
            <w:r w:rsidR="005D4990" w:rsidRPr="00AB0C4E">
              <w:rPr>
                <w:lang w:val="en-GB"/>
              </w:rPr>
              <w:t>X</w:t>
            </w:r>
            <w:r w:rsidRPr="00AB0C4E">
              <w:rPr>
                <w:lang w:val="en-GB"/>
              </w:rPr>
              <w:t>)</w:t>
            </w:r>
          </w:p>
          <w:p w14:paraId="7E8BCC30" w14:textId="332DEDDF" w:rsidR="00A3650D" w:rsidRPr="00AB0C4E" w:rsidRDefault="00A3650D" w:rsidP="00677B1A">
            <w:pPr>
              <w:rPr>
                <w:lang w:val="en-GB"/>
              </w:rPr>
            </w:pPr>
          </w:p>
        </w:tc>
      </w:tr>
    </w:tbl>
    <w:p w14:paraId="677EF87D" w14:textId="788940D6" w:rsidR="00FD2953" w:rsidRPr="00AB0C4E" w:rsidRDefault="00FD2953" w:rsidP="00FD2953">
      <w:pPr>
        <w:pStyle w:val="2kopBDO"/>
        <w:rPr>
          <w:lang w:val="en-GB"/>
        </w:rPr>
      </w:pPr>
      <w:r w:rsidRPr="00AB0C4E">
        <w:rPr>
          <w:lang w:val="en-GB"/>
        </w:rPr>
        <w:lastRenderedPageBreak/>
        <w:t>B.4 – significant judgements and estimates</w:t>
      </w:r>
      <w:r>
        <w:rPr>
          <w:lang w:val="en-GB"/>
        </w:rPr>
        <w:t xml:space="preserve"> (continued)</w:t>
      </w:r>
    </w:p>
    <w:tbl>
      <w:tblPr>
        <w:tblStyle w:val="TableGrid"/>
        <w:tblW w:w="13993" w:type="dxa"/>
        <w:tblLook w:val="04A0" w:firstRow="1" w:lastRow="0" w:firstColumn="1" w:lastColumn="0" w:noHBand="0" w:noVBand="1"/>
      </w:tblPr>
      <w:tblGrid>
        <w:gridCol w:w="1469"/>
        <w:gridCol w:w="12524"/>
      </w:tblGrid>
      <w:tr w:rsidR="00FD2953" w:rsidRPr="00AB0C4E" w14:paraId="47F540B6" w14:textId="77777777" w:rsidTr="004263B7">
        <w:tc>
          <w:tcPr>
            <w:tcW w:w="13993" w:type="dxa"/>
            <w:gridSpan w:val="2"/>
            <w:shd w:val="clear" w:color="auto" w:fill="218F8B" w:themeFill="background2"/>
          </w:tcPr>
          <w:p w14:paraId="08E8042F" w14:textId="252FD48E" w:rsidR="00FD2953" w:rsidRPr="00AB0C4E" w:rsidRDefault="00FD2953" w:rsidP="004263B7">
            <w:pPr>
              <w:rPr>
                <w:color w:val="FFFFFF" w:themeColor="background1"/>
                <w:lang w:val="en-GB"/>
              </w:rPr>
            </w:pPr>
            <w:r w:rsidRPr="00AB0C4E">
              <w:rPr>
                <w:color w:val="FFFFFF" w:themeColor="background1"/>
                <w:lang w:val="en-GB"/>
              </w:rPr>
              <w:t>B.4 – Summary of significant judgements and estimates made in preparing 31 December 2020 financial statements</w:t>
            </w:r>
            <w:r>
              <w:rPr>
                <w:color w:val="FFFFFF" w:themeColor="background1"/>
                <w:lang w:val="en-GB"/>
              </w:rPr>
              <w:t xml:space="preserve"> (continued)</w:t>
            </w:r>
          </w:p>
        </w:tc>
      </w:tr>
      <w:tr w:rsidR="00FD2953" w:rsidRPr="00AB0C4E" w14:paraId="030396AE" w14:textId="77777777" w:rsidTr="004263B7">
        <w:tc>
          <w:tcPr>
            <w:tcW w:w="1469" w:type="dxa"/>
            <w:shd w:val="clear" w:color="auto" w:fill="657C91" w:themeFill="accent4"/>
          </w:tcPr>
          <w:p w14:paraId="26C06474" w14:textId="77777777" w:rsidR="00FD2953" w:rsidRPr="00AB0C4E" w:rsidRDefault="00FD2953" w:rsidP="004263B7">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3DDA83EB" w14:textId="77777777" w:rsidR="00FD2953" w:rsidRPr="00AB0C4E" w:rsidRDefault="00FD2953" w:rsidP="004263B7">
            <w:pPr>
              <w:rPr>
                <w:color w:val="FFFFFF" w:themeColor="background1"/>
                <w:lang w:val="en-GB"/>
              </w:rPr>
            </w:pPr>
            <w:r w:rsidRPr="00AB0C4E">
              <w:rPr>
                <w:color w:val="FFFFFF" w:themeColor="background1"/>
                <w:lang w:val="en-GB"/>
              </w:rPr>
              <w:t xml:space="preserve">Illustrative disclosure </w:t>
            </w:r>
          </w:p>
        </w:tc>
      </w:tr>
      <w:tr w:rsidR="00FD2953" w:rsidRPr="00AB0C4E" w14:paraId="3874DFE9" w14:textId="77777777" w:rsidTr="001F50DB">
        <w:tc>
          <w:tcPr>
            <w:tcW w:w="1469" w:type="dxa"/>
            <w:shd w:val="clear" w:color="auto" w:fill="FFFFFF" w:themeFill="background1"/>
          </w:tcPr>
          <w:p w14:paraId="4657C235" w14:textId="77777777" w:rsidR="00FD2953" w:rsidRDefault="00FD2953" w:rsidP="00677B1A">
            <w:pPr>
              <w:widowControl w:val="0"/>
              <w:tabs>
                <w:tab w:val="left" w:pos="567"/>
              </w:tabs>
              <w:rPr>
                <w:lang w:val="en-GB"/>
              </w:rPr>
            </w:pPr>
          </w:p>
          <w:p w14:paraId="38AB8CC8" w14:textId="77777777" w:rsidR="00FD2953" w:rsidRDefault="00FD2953" w:rsidP="00677B1A">
            <w:pPr>
              <w:widowControl w:val="0"/>
              <w:tabs>
                <w:tab w:val="left" w:pos="567"/>
              </w:tabs>
              <w:rPr>
                <w:lang w:val="en-GB"/>
              </w:rPr>
            </w:pPr>
          </w:p>
          <w:p w14:paraId="4700C626" w14:textId="77777777" w:rsidR="00FD2953" w:rsidRDefault="00FD2953" w:rsidP="00677B1A">
            <w:pPr>
              <w:widowControl w:val="0"/>
              <w:tabs>
                <w:tab w:val="left" w:pos="567"/>
              </w:tabs>
              <w:rPr>
                <w:lang w:val="en-GB"/>
              </w:rPr>
            </w:pPr>
          </w:p>
          <w:p w14:paraId="1CFAD5BE" w14:textId="77777777" w:rsidR="00FD2953" w:rsidRDefault="00FD2953" w:rsidP="00677B1A">
            <w:pPr>
              <w:widowControl w:val="0"/>
              <w:tabs>
                <w:tab w:val="left" w:pos="567"/>
              </w:tabs>
              <w:rPr>
                <w:lang w:val="en-GB"/>
              </w:rPr>
            </w:pPr>
          </w:p>
          <w:p w14:paraId="52193F73" w14:textId="77777777" w:rsidR="00FD2953" w:rsidRDefault="00FD2953" w:rsidP="00677B1A">
            <w:pPr>
              <w:widowControl w:val="0"/>
              <w:tabs>
                <w:tab w:val="left" w:pos="567"/>
              </w:tabs>
              <w:rPr>
                <w:lang w:val="en-GB"/>
              </w:rPr>
            </w:pPr>
          </w:p>
          <w:p w14:paraId="1AE0D2B0" w14:textId="77777777" w:rsidR="00FD2953" w:rsidRDefault="00FD2953" w:rsidP="00677B1A">
            <w:pPr>
              <w:widowControl w:val="0"/>
              <w:tabs>
                <w:tab w:val="left" w:pos="567"/>
              </w:tabs>
              <w:rPr>
                <w:lang w:val="en-GB"/>
              </w:rPr>
            </w:pPr>
          </w:p>
          <w:p w14:paraId="03986656" w14:textId="77777777" w:rsidR="00FD2953" w:rsidRDefault="00FD2953" w:rsidP="00677B1A">
            <w:pPr>
              <w:widowControl w:val="0"/>
              <w:tabs>
                <w:tab w:val="left" w:pos="567"/>
              </w:tabs>
              <w:rPr>
                <w:lang w:val="en-GB"/>
              </w:rPr>
            </w:pPr>
          </w:p>
          <w:p w14:paraId="748FAF88" w14:textId="77777777" w:rsidR="00FD2953" w:rsidRDefault="00FD2953" w:rsidP="00677B1A">
            <w:pPr>
              <w:widowControl w:val="0"/>
              <w:tabs>
                <w:tab w:val="left" w:pos="567"/>
              </w:tabs>
              <w:rPr>
                <w:lang w:val="en-GB"/>
              </w:rPr>
            </w:pPr>
          </w:p>
          <w:p w14:paraId="287A5AF2" w14:textId="77777777" w:rsidR="00FD2953" w:rsidRDefault="00FD2953" w:rsidP="00677B1A">
            <w:pPr>
              <w:widowControl w:val="0"/>
              <w:tabs>
                <w:tab w:val="left" w:pos="567"/>
              </w:tabs>
              <w:rPr>
                <w:lang w:val="en-GB"/>
              </w:rPr>
            </w:pPr>
          </w:p>
          <w:p w14:paraId="4BA141C6" w14:textId="2EE1D377" w:rsidR="00FD2953" w:rsidRPr="00AB0C4E" w:rsidRDefault="00FD2953" w:rsidP="00E34B15">
            <w:pPr>
              <w:widowControl w:val="0"/>
              <w:tabs>
                <w:tab w:val="left" w:pos="567"/>
              </w:tabs>
              <w:jc w:val="right"/>
              <w:rPr>
                <w:lang w:val="en-GB"/>
              </w:rPr>
            </w:pPr>
            <w:r w:rsidRPr="00AB0C4E">
              <w:rPr>
                <w:lang w:val="en-GB"/>
              </w:rPr>
              <w:t>IAS 1.129</w:t>
            </w:r>
          </w:p>
        </w:tc>
        <w:tc>
          <w:tcPr>
            <w:tcW w:w="12524" w:type="dxa"/>
            <w:shd w:val="clear" w:color="auto" w:fill="FFFFFF" w:themeFill="background1"/>
          </w:tcPr>
          <w:p w14:paraId="177BCFE2" w14:textId="31DC776E" w:rsidR="00FD2953" w:rsidRPr="00E34B15" w:rsidRDefault="00FD2953" w:rsidP="00E34B15">
            <w:pPr>
              <w:widowControl w:val="0"/>
              <w:tabs>
                <w:tab w:val="left" w:pos="567"/>
              </w:tabs>
              <w:ind w:left="548"/>
              <w:rPr>
                <w:i/>
                <w:lang w:val="en-GB"/>
              </w:rPr>
            </w:pPr>
            <w:r w:rsidRPr="00AB0C4E">
              <w:rPr>
                <w:i/>
                <w:lang w:val="en-GB"/>
              </w:rPr>
              <w:t>Estimates and assumptions</w:t>
            </w:r>
            <w:r>
              <w:rPr>
                <w:i/>
                <w:lang w:val="en-GB"/>
              </w:rPr>
              <w:t xml:space="preserve"> (continued)</w:t>
            </w:r>
          </w:p>
          <w:p w14:paraId="038299E6" w14:textId="77777777" w:rsidR="00FD2953" w:rsidRPr="00FD2953" w:rsidRDefault="00FD2953" w:rsidP="00FD2953">
            <w:pPr>
              <w:widowControl w:val="0"/>
              <w:numPr>
                <w:ilvl w:val="0"/>
                <w:numId w:val="33"/>
              </w:numPr>
              <w:tabs>
                <w:tab w:val="left" w:pos="567"/>
                <w:tab w:val="num" w:pos="990"/>
              </w:tabs>
              <w:rPr>
                <w:lang w:val="en-GB"/>
              </w:rPr>
            </w:pPr>
            <w:r w:rsidRPr="00FD2953">
              <w:rPr>
                <w:lang w:val="en-GB"/>
              </w:rPr>
              <w:t>Assessing whether the Company is reasonably certain to exercise lessee options (see note X)</w:t>
            </w:r>
          </w:p>
          <w:p w14:paraId="4456B46B" w14:textId="77777777" w:rsidR="00FD2953" w:rsidRPr="00FD2953" w:rsidRDefault="00FD2953" w:rsidP="00FD2953">
            <w:pPr>
              <w:widowControl w:val="0"/>
              <w:numPr>
                <w:ilvl w:val="0"/>
                <w:numId w:val="33"/>
              </w:numPr>
              <w:tabs>
                <w:tab w:val="left" w:pos="567"/>
              </w:tabs>
              <w:rPr>
                <w:lang w:val="en-GB"/>
              </w:rPr>
            </w:pPr>
            <w:r w:rsidRPr="00FD2953">
              <w:rPr>
                <w:lang w:val="en-GB"/>
              </w:rPr>
              <w:t xml:space="preserve">The determination of the incremental borrowing rate used to measure lease liabilities (see note X) </w:t>
            </w:r>
          </w:p>
          <w:p w14:paraId="4D5438A0" w14:textId="77777777" w:rsidR="00FD2953" w:rsidRPr="00FD2953" w:rsidRDefault="00FD2953" w:rsidP="00FD2953">
            <w:pPr>
              <w:widowControl w:val="0"/>
              <w:numPr>
                <w:ilvl w:val="0"/>
                <w:numId w:val="33"/>
              </w:numPr>
              <w:tabs>
                <w:tab w:val="left" w:pos="567"/>
                <w:tab w:val="num" w:pos="990"/>
              </w:tabs>
              <w:rPr>
                <w:lang w:val="en-GB"/>
              </w:rPr>
            </w:pPr>
            <w:r w:rsidRPr="00FD2953">
              <w:rPr>
                <w:lang w:val="en-GB"/>
              </w:rPr>
              <w:t>Revenue recognition – Provision of rights to return goods if customers are dissatisfied and volume rebates (see note X)</w:t>
            </w:r>
          </w:p>
          <w:p w14:paraId="330D1E1A" w14:textId="77777777" w:rsidR="00FD2953" w:rsidRPr="00FD2953" w:rsidRDefault="00FD2953" w:rsidP="00FD2953">
            <w:pPr>
              <w:widowControl w:val="0"/>
              <w:numPr>
                <w:ilvl w:val="0"/>
                <w:numId w:val="33"/>
              </w:numPr>
              <w:tabs>
                <w:tab w:val="left" w:pos="567"/>
                <w:tab w:val="num" w:pos="990"/>
              </w:tabs>
              <w:rPr>
                <w:lang w:val="en-GB"/>
              </w:rPr>
            </w:pPr>
            <w:r w:rsidRPr="00FD2953">
              <w:rPr>
                <w:lang w:val="en-GB"/>
              </w:rPr>
              <w:t>Income taxes – provisions for income taxes in various jurisdictions, including uncertainty over income tax treatments and estimating the recoverability of deferred tax assets (see note X)</w:t>
            </w:r>
          </w:p>
          <w:p w14:paraId="6CEE8E96" w14:textId="77777777" w:rsidR="00FD2953" w:rsidRDefault="00FD2953" w:rsidP="00677B1A">
            <w:pPr>
              <w:widowControl w:val="0"/>
              <w:tabs>
                <w:tab w:val="left" w:pos="567"/>
              </w:tabs>
              <w:rPr>
                <w:lang w:val="en-GB"/>
              </w:rPr>
            </w:pPr>
          </w:p>
          <w:p w14:paraId="04652CD0" w14:textId="723F3056" w:rsidR="00FD2953" w:rsidRPr="00AB0C4E" w:rsidRDefault="00FD2953" w:rsidP="00677B1A">
            <w:pPr>
              <w:widowControl w:val="0"/>
              <w:tabs>
                <w:tab w:val="left" w:pos="567"/>
              </w:tabs>
              <w:rPr>
                <w:lang w:val="en-GB"/>
              </w:rPr>
            </w:pPr>
            <w:r w:rsidRPr="00AB0C4E">
              <w:rPr>
                <w:lang w:val="en-GB"/>
              </w:rPr>
              <w:t>See the above referenced notes for disclosure of the nature of the uncertainty, sensitivity of carrying amounts to the methods, assumptions and estimated underlying their calculation, the expected resolution of the uncertainty and ranges of reasonably possible outcomes.</w:t>
            </w:r>
          </w:p>
        </w:tc>
      </w:tr>
      <w:tr w:rsidR="000C1E9D" w:rsidRPr="00AB0C4E" w14:paraId="554F942A" w14:textId="77777777" w:rsidTr="001F50DB">
        <w:tc>
          <w:tcPr>
            <w:tcW w:w="1469" w:type="dxa"/>
            <w:shd w:val="clear" w:color="auto" w:fill="FFFFFF" w:themeFill="background1"/>
          </w:tcPr>
          <w:p w14:paraId="33298078" w14:textId="77777777" w:rsidR="000C1E9D" w:rsidRPr="00AB0C4E" w:rsidRDefault="000C1E9D" w:rsidP="001F50DB">
            <w:pPr>
              <w:jc w:val="right"/>
              <w:rPr>
                <w:lang w:val="en-GB"/>
              </w:rPr>
            </w:pPr>
          </w:p>
        </w:tc>
        <w:tc>
          <w:tcPr>
            <w:tcW w:w="12524" w:type="dxa"/>
            <w:shd w:val="clear" w:color="auto" w:fill="FFFFFF" w:themeFill="background1"/>
          </w:tcPr>
          <w:p w14:paraId="761B3B53" w14:textId="77777777" w:rsidR="000C1E9D" w:rsidRPr="00AB0C4E" w:rsidRDefault="000C1E9D" w:rsidP="001F50DB">
            <w:pPr>
              <w:rPr>
                <w:i/>
                <w:iCs/>
                <w:lang w:val="en-GB"/>
              </w:rPr>
            </w:pPr>
            <w:r w:rsidRPr="00AB0C4E">
              <w:rPr>
                <w:i/>
                <w:iCs/>
                <w:lang w:val="en-GB"/>
              </w:rPr>
              <w:t xml:space="preserve">Analysis: </w:t>
            </w:r>
            <w:r w:rsidR="00CC14C2" w:rsidRPr="00AB0C4E">
              <w:rPr>
                <w:i/>
                <w:iCs/>
                <w:lang w:val="en-GB"/>
              </w:rPr>
              <w:t xml:space="preserve">IAS 1.122 and 125 require the disclosure of significant judgements and estimates made in applying an entity’s accounting policies. In many cases, it may be simplest to provide these disclosures within the related note (e.g. disclose significant estimates made relating to the estimation of assets’ recoverable amounts in the impairment of asses note, accompanying other disclosures required by IAS 36). </w:t>
            </w:r>
            <w:r w:rsidRPr="00AB0C4E">
              <w:rPr>
                <w:i/>
                <w:iCs/>
                <w:lang w:val="en-GB"/>
              </w:rPr>
              <w:t xml:space="preserve"> </w:t>
            </w:r>
          </w:p>
          <w:p w14:paraId="14671DB4" w14:textId="77777777" w:rsidR="00677B1A" w:rsidRPr="00AB0C4E" w:rsidRDefault="00677B1A" w:rsidP="001F50DB">
            <w:pPr>
              <w:rPr>
                <w:i/>
                <w:iCs/>
                <w:lang w:val="en-GB"/>
              </w:rPr>
            </w:pPr>
          </w:p>
          <w:p w14:paraId="58ADDB43" w14:textId="77777777" w:rsidR="00677B1A" w:rsidRPr="00AB0C4E" w:rsidRDefault="00677B1A" w:rsidP="001F50DB">
            <w:pPr>
              <w:rPr>
                <w:i/>
                <w:iCs/>
                <w:lang w:val="en-GB"/>
              </w:rPr>
            </w:pPr>
            <w:r w:rsidRPr="00AB0C4E">
              <w:rPr>
                <w:i/>
                <w:iCs/>
                <w:lang w:val="en-GB"/>
              </w:rPr>
              <w:t>See the following sections for illustrations of significant judgements and estimates being disclosed in the related notes:</w:t>
            </w:r>
          </w:p>
          <w:p w14:paraId="3952730A" w14:textId="77777777" w:rsidR="00677B1A" w:rsidRPr="00AB0C4E" w:rsidRDefault="00677B1A" w:rsidP="001F50DB">
            <w:pPr>
              <w:rPr>
                <w:i/>
                <w:iCs/>
                <w:lang w:val="en-GB"/>
              </w:rPr>
            </w:pPr>
          </w:p>
          <w:p w14:paraId="246840C3" w14:textId="317DB389" w:rsidR="00677B1A" w:rsidRPr="00AB0C4E" w:rsidRDefault="00E431BD" w:rsidP="00677B1A">
            <w:pPr>
              <w:pStyle w:val="ListParagraph"/>
              <w:numPr>
                <w:ilvl w:val="0"/>
                <w:numId w:val="34"/>
              </w:numPr>
              <w:rPr>
                <w:i/>
                <w:iCs/>
              </w:rPr>
            </w:pPr>
            <w:r w:rsidRPr="00AB0C4E">
              <w:rPr>
                <w:i/>
                <w:iCs/>
              </w:rPr>
              <w:t>B.6: evidence supporting the recognition of deferred tax assets;</w:t>
            </w:r>
          </w:p>
          <w:p w14:paraId="1D6C7DE9" w14:textId="77777777" w:rsidR="00E431BD" w:rsidRPr="00AB0C4E" w:rsidRDefault="00E431BD" w:rsidP="00677B1A">
            <w:pPr>
              <w:pStyle w:val="ListParagraph"/>
              <w:numPr>
                <w:ilvl w:val="0"/>
                <w:numId w:val="34"/>
              </w:numPr>
              <w:rPr>
                <w:i/>
                <w:iCs/>
              </w:rPr>
            </w:pPr>
            <w:r w:rsidRPr="00AB0C4E">
              <w:rPr>
                <w:i/>
                <w:iCs/>
              </w:rPr>
              <w:t>B.7: judgements made in assessing whether stipulations relating to forgivable government loans will be complied with;</w:t>
            </w:r>
          </w:p>
          <w:p w14:paraId="508B61EA" w14:textId="7935FD2C" w:rsidR="00E431BD" w:rsidRPr="00AB0C4E" w:rsidRDefault="00E431BD" w:rsidP="00E431BD">
            <w:pPr>
              <w:pStyle w:val="ListParagraph"/>
              <w:numPr>
                <w:ilvl w:val="0"/>
                <w:numId w:val="34"/>
              </w:numPr>
              <w:rPr>
                <w:i/>
                <w:iCs/>
              </w:rPr>
            </w:pPr>
            <w:r w:rsidRPr="00AB0C4E">
              <w:rPr>
                <w:i/>
                <w:iCs/>
              </w:rPr>
              <w:t xml:space="preserve">B.8: significant judgements and estimates made when estimating the recoverable amounts of assets subject to the impairment requirements of IAS 36, including major assumptions made and </w:t>
            </w:r>
            <w:r w:rsidR="00E33C4B">
              <w:rPr>
                <w:i/>
                <w:iCs/>
              </w:rPr>
              <w:t xml:space="preserve">the </w:t>
            </w:r>
            <w:r w:rsidRPr="00AB0C4E">
              <w:rPr>
                <w:i/>
                <w:iCs/>
              </w:rPr>
              <w:t>sensitivity of the recoverable amount’s carrying value to changes in those assumptions;</w:t>
            </w:r>
          </w:p>
          <w:p w14:paraId="5B66AB43" w14:textId="6276F5CC" w:rsidR="008813FF" w:rsidRPr="00AB0C4E" w:rsidRDefault="00E431BD" w:rsidP="00E431BD">
            <w:pPr>
              <w:pStyle w:val="ListParagraph"/>
              <w:numPr>
                <w:ilvl w:val="0"/>
                <w:numId w:val="34"/>
              </w:numPr>
              <w:rPr>
                <w:i/>
                <w:iCs/>
              </w:rPr>
            </w:pPr>
            <w:r w:rsidRPr="00AB0C4E">
              <w:rPr>
                <w:i/>
                <w:iCs/>
              </w:rPr>
              <w:t xml:space="preserve">B.9: </w:t>
            </w:r>
            <w:r w:rsidR="008813FF" w:rsidRPr="00AB0C4E">
              <w:rPr>
                <w:i/>
                <w:iCs/>
              </w:rPr>
              <w:t>estimates made in measuring restructuring provisions, including assumptions used to estimate termination benefits; and</w:t>
            </w:r>
          </w:p>
          <w:p w14:paraId="5A324360" w14:textId="07D0394C" w:rsidR="00E431BD" w:rsidRPr="00AB0C4E" w:rsidRDefault="008813FF" w:rsidP="00E431BD">
            <w:pPr>
              <w:pStyle w:val="ListParagraph"/>
              <w:numPr>
                <w:ilvl w:val="0"/>
                <w:numId w:val="34"/>
              </w:numPr>
            </w:pPr>
            <w:r w:rsidRPr="00AB0C4E">
              <w:rPr>
                <w:i/>
                <w:iCs/>
              </w:rPr>
              <w:t>B.10: estimates of expected credit losses relating to trade receivables, including the incorporation of forward-looking information to adjust historic loss rates.</w:t>
            </w:r>
            <w:r w:rsidR="00E431BD" w:rsidRPr="00AB0C4E">
              <w:t xml:space="preserve"> </w:t>
            </w:r>
          </w:p>
        </w:tc>
      </w:tr>
    </w:tbl>
    <w:p w14:paraId="0F80BBB6" w14:textId="457BA907" w:rsidR="00FD2953" w:rsidRDefault="00FD2953" w:rsidP="006E22AC">
      <w:pPr>
        <w:rPr>
          <w:lang w:val="en-GB"/>
        </w:rPr>
      </w:pPr>
      <w:r>
        <w:rPr>
          <w:lang w:val="en-GB"/>
        </w:rPr>
        <w:br w:type="page"/>
      </w:r>
    </w:p>
    <w:p w14:paraId="6F8D1DE6" w14:textId="5CC47F57" w:rsidR="000C1E9D" w:rsidRPr="00AB0C4E" w:rsidRDefault="00F43580" w:rsidP="00605C11">
      <w:pPr>
        <w:pStyle w:val="2kopBDO"/>
        <w:rPr>
          <w:lang w:val="en-GB"/>
        </w:rPr>
      </w:pPr>
      <w:bookmarkStart w:id="9" w:name="B5"/>
      <w:r w:rsidRPr="00AB0C4E">
        <w:rPr>
          <w:lang w:val="en-GB"/>
        </w:rPr>
        <w:lastRenderedPageBreak/>
        <w:t xml:space="preserve">B.5 </w:t>
      </w:r>
      <w:bookmarkEnd w:id="9"/>
      <w:r w:rsidRPr="00AB0C4E">
        <w:rPr>
          <w:lang w:val="en-GB"/>
        </w:rPr>
        <w:t>– EVENTS AFTER THE REPORTING PERIOD</w:t>
      </w:r>
    </w:p>
    <w:tbl>
      <w:tblPr>
        <w:tblStyle w:val="TableGrid"/>
        <w:tblW w:w="13993" w:type="dxa"/>
        <w:tblLook w:val="04A0" w:firstRow="1" w:lastRow="0" w:firstColumn="1" w:lastColumn="0" w:noHBand="0" w:noVBand="1"/>
      </w:tblPr>
      <w:tblGrid>
        <w:gridCol w:w="1469"/>
        <w:gridCol w:w="12524"/>
      </w:tblGrid>
      <w:tr w:rsidR="000C1E9D" w:rsidRPr="00AB0C4E" w14:paraId="3953F7F9" w14:textId="77777777" w:rsidTr="001F50DB">
        <w:tc>
          <w:tcPr>
            <w:tcW w:w="13993" w:type="dxa"/>
            <w:gridSpan w:val="2"/>
            <w:shd w:val="clear" w:color="auto" w:fill="218F8B" w:themeFill="background2"/>
          </w:tcPr>
          <w:p w14:paraId="584F6A9A" w14:textId="6B33B5B1" w:rsidR="000C1E9D" w:rsidRPr="00AB0C4E" w:rsidRDefault="000C1E9D" w:rsidP="001F50DB">
            <w:pPr>
              <w:rPr>
                <w:color w:val="FFFFFF" w:themeColor="background1"/>
                <w:lang w:val="en-GB"/>
              </w:rPr>
            </w:pPr>
            <w:r w:rsidRPr="00AB0C4E">
              <w:rPr>
                <w:color w:val="FFFFFF" w:themeColor="background1"/>
                <w:lang w:val="en-GB"/>
              </w:rPr>
              <w:t>B.</w:t>
            </w:r>
            <w:r w:rsidR="007356F5" w:rsidRPr="00AB0C4E">
              <w:rPr>
                <w:color w:val="FFFFFF" w:themeColor="background1"/>
                <w:lang w:val="en-GB"/>
              </w:rPr>
              <w:t>5</w:t>
            </w:r>
            <w:r w:rsidRPr="00AB0C4E">
              <w:rPr>
                <w:color w:val="FFFFFF" w:themeColor="background1"/>
                <w:lang w:val="en-GB"/>
              </w:rPr>
              <w:t>(</w:t>
            </w:r>
            <w:r w:rsidR="007356F5" w:rsidRPr="00AB0C4E">
              <w:rPr>
                <w:color w:val="FFFFFF" w:themeColor="background1"/>
                <w:lang w:val="en-GB"/>
              </w:rPr>
              <w:t>a</w:t>
            </w:r>
            <w:r w:rsidRPr="00AB0C4E">
              <w:rPr>
                <w:color w:val="FFFFFF" w:themeColor="background1"/>
                <w:lang w:val="en-GB"/>
              </w:rPr>
              <w:t xml:space="preserve">) – </w:t>
            </w:r>
            <w:r w:rsidR="007356F5" w:rsidRPr="00AB0C4E">
              <w:rPr>
                <w:color w:val="FFFFFF" w:themeColor="background1"/>
                <w:lang w:val="en-GB"/>
              </w:rPr>
              <w:t xml:space="preserve">information relating to going concern is obtained subsequent </w:t>
            </w:r>
            <w:r w:rsidR="00AD784C" w:rsidRPr="00AB0C4E">
              <w:rPr>
                <w:color w:val="FFFFFF" w:themeColor="background1"/>
                <w:lang w:val="en-GB"/>
              </w:rPr>
              <w:t>to period end</w:t>
            </w:r>
          </w:p>
          <w:p w14:paraId="79B979F9" w14:textId="77777777" w:rsidR="000C1E9D" w:rsidRPr="00AB0C4E" w:rsidRDefault="000C1E9D" w:rsidP="001F50DB">
            <w:pPr>
              <w:rPr>
                <w:color w:val="FFFFFF" w:themeColor="background1"/>
                <w:lang w:val="en-GB"/>
              </w:rPr>
            </w:pPr>
          </w:p>
          <w:p w14:paraId="5B89321A" w14:textId="088C9568" w:rsidR="000C1E9D" w:rsidRPr="00AB0C4E" w:rsidRDefault="000C1E9D" w:rsidP="001F50DB">
            <w:pPr>
              <w:rPr>
                <w:color w:val="FFFFFF" w:themeColor="background1"/>
                <w:lang w:val="en-GB"/>
              </w:rPr>
            </w:pPr>
            <w:r w:rsidRPr="00AB0C4E">
              <w:rPr>
                <w:color w:val="FFFFFF" w:themeColor="background1"/>
                <w:lang w:val="en-GB"/>
              </w:rPr>
              <w:t>Additional information:</w:t>
            </w:r>
            <w:r w:rsidR="00AD784C" w:rsidRPr="00AB0C4E">
              <w:rPr>
                <w:color w:val="FFFFFF" w:themeColor="background1"/>
                <w:lang w:val="en-GB"/>
              </w:rPr>
              <w:t xml:space="preserve"> Z Layout is not in compliance with bank loan covenants as at 31 December 2020, which allows the bank to demand repayment at any time. On 31 January 2021, before Z Layout’s financial statements are approved for issuance, the bank immediately demands repayment. The outstanding balance of the loan is significantly more than Z Layout’s cash balances and management has been unsuccessful in obtaining alternative sources of financing. Z Layout has no realistic alternative but to liquidate the entity in order to satisfy </w:t>
            </w:r>
            <w:r w:rsidR="006527D0" w:rsidRPr="00AB0C4E">
              <w:rPr>
                <w:color w:val="FFFFFF" w:themeColor="background1"/>
                <w:lang w:val="en-GB"/>
              </w:rPr>
              <w:t xml:space="preserve">its contractual obligation to the bank. </w:t>
            </w:r>
          </w:p>
        </w:tc>
      </w:tr>
      <w:tr w:rsidR="000C1E9D" w:rsidRPr="00AB0C4E" w14:paraId="3CAA39C5" w14:textId="77777777" w:rsidTr="001F50DB">
        <w:tc>
          <w:tcPr>
            <w:tcW w:w="1469" w:type="dxa"/>
            <w:shd w:val="clear" w:color="auto" w:fill="657C91" w:themeFill="accent4"/>
          </w:tcPr>
          <w:p w14:paraId="655CCDD7" w14:textId="77777777" w:rsidR="000C1E9D" w:rsidRPr="00AB0C4E" w:rsidRDefault="000C1E9D" w:rsidP="001F50DB">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3451AEC3" w14:textId="77777777" w:rsidR="000C1E9D" w:rsidRPr="00AB0C4E" w:rsidRDefault="000C1E9D" w:rsidP="001F50DB">
            <w:pPr>
              <w:rPr>
                <w:color w:val="FFFFFF" w:themeColor="background1"/>
                <w:lang w:val="en-GB"/>
              </w:rPr>
            </w:pPr>
            <w:r w:rsidRPr="00AB0C4E">
              <w:rPr>
                <w:color w:val="FFFFFF" w:themeColor="background1"/>
                <w:lang w:val="en-GB"/>
              </w:rPr>
              <w:t xml:space="preserve">Illustrative disclosure </w:t>
            </w:r>
          </w:p>
        </w:tc>
      </w:tr>
      <w:tr w:rsidR="000C1E9D" w:rsidRPr="00AB0C4E" w14:paraId="0D603EA7" w14:textId="77777777" w:rsidTr="001F50DB">
        <w:tc>
          <w:tcPr>
            <w:tcW w:w="1469" w:type="dxa"/>
            <w:shd w:val="clear" w:color="auto" w:fill="FFFFFF" w:themeFill="background1"/>
          </w:tcPr>
          <w:p w14:paraId="57A1FB90" w14:textId="77777777" w:rsidR="000C1E9D" w:rsidRPr="00AB0C4E" w:rsidRDefault="006527D0" w:rsidP="001F50DB">
            <w:pPr>
              <w:jc w:val="right"/>
              <w:rPr>
                <w:lang w:val="en-GB"/>
              </w:rPr>
            </w:pPr>
            <w:r w:rsidRPr="00AB0C4E">
              <w:rPr>
                <w:lang w:val="en-GB"/>
              </w:rPr>
              <w:t>IAS 10.14</w:t>
            </w:r>
          </w:p>
          <w:p w14:paraId="5BC5804F" w14:textId="77777777" w:rsidR="00B86168" w:rsidRPr="00AB0C4E" w:rsidRDefault="00B86168" w:rsidP="001F50DB">
            <w:pPr>
              <w:jc w:val="right"/>
              <w:rPr>
                <w:lang w:val="en-GB"/>
              </w:rPr>
            </w:pPr>
          </w:p>
          <w:p w14:paraId="7C12A10F" w14:textId="77777777" w:rsidR="00B86168" w:rsidRPr="00AB0C4E" w:rsidRDefault="00B86168" w:rsidP="001F50DB">
            <w:pPr>
              <w:jc w:val="right"/>
              <w:rPr>
                <w:lang w:val="en-GB"/>
              </w:rPr>
            </w:pPr>
          </w:p>
          <w:p w14:paraId="7C0BB57B" w14:textId="77777777" w:rsidR="00B86168" w:rsidRPr="00AB0C4E" w:rsidRDefault="00B86168" w:rsidP="001F50DB">
            <w:pPr>
              <w:jc w:val="right"/>
              <w:rPr>
                <w:lang w:val="en-GB"/>
              </w:rPr>
            </w:pPr>
          </w:p>
          <w:p w14:paraId="36C551EF" w14:textId="77777777" w:rsidR="00B86168" w:rsidRPr="00AB0C4E" w:rsidRDefault="00B86168" w:rsidP="001F50DB">
            <w:pPr>
              <w:jc w:val="right"/>
              <w:rPr>
                <w:lang w:val="en-GB"/>
              </w:rPr>
            </w:pPr>
          </w:p>
          <w:p w14:paraId="6977069E" w14:textId="683E3D5F" w:rsidR="006527D0" w:rsidRPr="00AB0C4E" w:rsidRDefault="006527D0" w:rsidP="001F50DB">
            <w:pPr>
              <w:jc w:val="right"/>
              <w:rPr>
                <w:lang w:val="en-GB"/>
              </w:rPr>
            </w:pPr>
            <w:r w:rsidRPr="00AB0C4E">
              <w:rPr>
                <w:lang w:val="en-GB"/>
              </w:rPr>
              <w:t>IAS 1.25</w:t>
            </w:r>
          </w:p>
        </w:tc>
        <w:tc>
          <w:tcPr>
            <w:tcW w:w="12524" w:type="dxa"/>
            <w:shd w:val="clear" w:color="auto" w:fill="FFFFFF" w:themeFill="background1"/>
          </w:tcPr>
          <w:p w14:paraId="6EBCDE09" w14:textId="77777777" w:rsidR="000C1E9D" w:rsidRPr="00AB0C4E" w:rsidRDefault="006527D0" w:rsidP="001F50DB">
            <w:pPr>
              <w:rPr>
                <w:lang w:val="en-GB"/>
              </w:rPr>
            </w:pPr>
            <w:r w:rsidRPr="00AB0C4E">
              <w:rPr>
                <w:lang w:val="en-GB"/>
              </w:rPr>
              <w:t>Z Layout was not in compliance with the debt to equity covenant relating to its bank loan with lender ABC (see note X) as at 31 December 2020, which permits the lender to require repayment on demand. On 31 January 2021, the lender served notice to Z Layout that it is demanding immediate repayment of the loan. Z Layout does not have sufficient cash or access to liquidity in order to satisfy this obligation.</w:t>
            </w:r>
          </w:p>
          <w:p w14:paraId="13E9C039" w14:textId="77777777" w:rsidR="006527D0" w:rsidRPr="00AB0C4E" w:rsidRDefault="006527D0" w:rsidP="001F50DB">
            <w:pPr>
              <w:rPr>
                <w:lang w:val="en-GB"/>
              </w:rPr>
            </w:pPr>
          </w:p>
          <w:p w14:paraId="08A21FDB" w14:textId="77777777" w:rsidR="006527D0" w:rsidRPr="00AB0C4E" w:rsidRDefault="006527D0" w:rsidP="001F50DB">
            <w:pPr>
              <w:rPr>
                <w:lang w:val="en-GB"/>
              </w:rPr>
            </w:pPr>
            <w:r w:rsidRPr="00AB0C4E">
              <w:rPr>
                <w:lang w:val="en-GB"/>
              </w:rPr>
              <w:t xml:space="preserve">Management has considered all available options, however, </w:t>
            </w:r>
            <w:r w:rsidR="00B86168" w:rsidRPr="00AB0C4E">
              <w:rPr>
                <w:lang w:val="en-GB"/>
              </w:rPr>
              <w:t>it is management’s opinion that the Company has no realistic alternative but to cease operations and liquidate the Company in order to satisfy its contractual obligations. As such, these financial statements have not been prepared on a going concern basis.</w:t>
            </w:r>
          </w:p>
          <w:p w14:paraId="54608001" w14:textId="77777777" w:rsidR="00B86168" w:rsidRPr="00AB0C4E" w:rsidRDefault="00B86168" w:rsidP="001F50DB">
            <w:pPr>
              <w:rPr>
                <w:lang w:val="en-GB"/>
              </w:rPr>
            </w:pPr>
          </w:p>
          <w:p w14:paraId="1645C340" w14:textId="122F08B5" w:rsidR="00B86168" w:rsidRPr="00AB0C4E" w:rsidRDefault="00B86168" w:rsidP="001F50DB">
            <w:pPr>
              <w:rPr>
                <w:i/>
                <w:iCs/>
                <w:lang w:val="en-GB"/>
              </w:rPr>
            </w:pPr>
            <w:r w:rsidRPr="00AB0C4E">
              <w:rPr>
                <w:i/>
                <w:iCs/>
                <w:lang w:val="en-GB"/>
              </w:rPr>
              <w:t xml:space="preserve">Accompanying disclosure related to the basis of accounting used is not illustrated in this example. </w:t>
            </w:r>
          </w:p>
        </w:tc>
      </w:tr>
      <w:tr w:rsidR="000C1E9D" w:rsidRPr="00AB0C4E" w14:paraId="30C62281" w14:textId="77777777" w:rsidTr="001F50DB">
        <w:tc>
          <w:tcPr>
            <w:tcW w:w="1469" w:type="dxa"/>
            <w:shd w:val="clear" w:color="auto" w:fill="FFFFFF" w:themeFill="background1"/>
          </w:tcPr>
          <w:p w14:paraId="40503C53" w14:textId="77777777" w:rsidR="000C1E9D" w:rsidRPr="00AB0C4E" w:rsidRDefault="000C1E9D" w:rsidP="001F50DB">
            <w:pPr>
              <w:jc w:val="right"/>
              <w:rPr>
                <w:lang w:val="en-GB"/>
              </w:rPr>
            </w:pPr>
          </w:p>
        </w:tc>
        <w:tc>
          <w:tcPr>
            <w:tcW w:w="12524" w:type="dxa"/>
            <w:shd w:val="clear" w:color="auto" w:fill="FFFFFF" w:themeFill="background1"/>
          </w:tcPr>
          <w:p w14:paraId="612703B5" w14:textId="143B3586" w:rsidR="000C1E9D" w:rsidRPr="00AB0C4E" w:rsidRDefault="000C1E9D" w:rsidP="001F50DB">
            <w:pPr>
              <w:rPr>
                <w:lang w:val="en-GB"/>
              </w:rPr>
            </w:pPr>
            <w:r w:rsidRPr="00AB0C4E">
              <w:rPr>
                <w:i/>
                <w:iCs/>
                <w:lang w:val="en-GB"/>
              </w:rPr>
              <w:t xml:space="preserve">Analysis: </w:t>
            </w:r>
            <w:r w:rsidR="00B86168" w:rsidRPr="00AB0C4E">
              <w:rPr>
                <w:i/>
                <w:iCs/>
                <w:lang w:val="en-GB"/>
              </w:rPr>
              <w:t xml:space="preserve">IAS 10.14 </w:t>
            </w:r>
            <w:r w:rsidR="00DB5BFA">
              <w:rPr>
                <w:i/>
                <w:iCs/>
                <w:lang w:val="en-GB"/>
              </w:rPr>
              <w:t>prohibits</w:t>
            </w:r>
            <w:r w:rsidR="00DB5BFA" w:rsidRPr="00AB0C4E">
              <w:rPr>
                <w:i/>
                <w:iCs/>
                <w:lang w:val="en-GB"/>
              </w:rPr>
              <w:t xml:space="preserve"> </w:t>
            </w:r>
            <w:r w:rsidR="00DB5BFA">
              <w:rPr>
                <w:i/>
                <w:iCs/>
                <w:lang w:val="en-GB"/>
              </w:rPr>
              <w:t>the</w:t>
            </w:r>
            <w:r w:rsidR="00B86168" w:rsidRPr="00AB0C4E">
              <w:rPr>
                <w:i/>
                <w:iCs/>
                <w:lang w:val="en-GB"/>
              </w:rPr>
              <w:t xml:space="preserve"> going concern basis of accounting from being used if management determines after the reporting period that </w:t>
            </w:r>
            <w:r w:rsidR="0029080F" w:rsidRPr="00AB0C4E">
              <w:rPr>
                <w:i/>
                <w:iCs/>
                <w:lang w:val="en-GB"/>
              </w:rPr>
              <w:t>it intends to liquidate the entity or to cease trading, or that it has no realistic alternative but to do so. This is regardless of whether the events and circumstances giving rise the going concern assumption no longer being appropriate existed at period end. Said another way, if information obtained after the reporting period affects an entity’s ability to continue as a going concern, it is always treated as an adjusting event after the reporting period for purposes of assessing the going concern assumption</w:t>
            </w:r>
            <w:r w:rsidR="00111E4E" w:rsidRPr="00AB0C4E">
              <w:rPr>
                <w:i/>
                <w:iCs/>
                <w:lang w:val="en-GB"/>
              </w:rPr>
              <w:t xml:space="preserve"> as at period end</w:t>
            </w:r>
            <w:r w:rsidR="0029080F" w:rsidRPr="00AB0C4E">
              <w:rPr>
                <w:i/>
                <w:iCs/>
                <w:lang w:val="en-GB"/>
              </w:rPr>
              <w:t xml:space="preserve"> in accordance with IAS 1</w:t>
            </w:r>
            <w:r w:rsidR="004B6A34" w:rsidRPr="00AB0C4E">
              <w:rPr>
                <w:i/>
                <w:iCs/>
                <w:lang w:val="en-GB"/>
              </w:rPr>
              <w:t>.</w:t>
            </w:r>
          </w:p>
        </w:tc>
      </w:tr>
    </w:tbl>
    <w:p w14:paraId="6CDF9476" w14:textId="33DDB8F3" w:rsidR="00FD2953" w:rsidRDefault="00FD2953" w:rsidP="006E22AC">
      <w:pPr>
        <w:rPr>
          <w:lang w:val="en-GB"/>
        </w:rPr>
      </w:pPr>
      <w:r>
        <w:rPr>
          <w:lang w:val="en-GB"/>
        </w:rPr>
        <w:br w:type="page"/>
      </w:r>
    </w:p>
    <w:p w14:paraId="5C0D1885" w14:textId="57D6FA42" w:rsidR="000C1E9D" w:rsidRPr="00AB0C4E" w:rsidRDefault="00FD2953" w:rsidP="00E34B15">
      <w:pPr>
        <w:pStyle w:val="2kopBDO"/>
        <w:rPr>
          <w:lang w:val="en-GB"/>
        </w:rPr>
      </w:pPr>
      <w:r w:rsidRPr="00AB0C4E">
        <w:rPr>
          <w:lang w:val="en-GB"/>
        </w:rPr>
        <w:lastRenderedPageBreak/>
        <w:t>B.5 – EVENTS AFTER THE REPORTING PERIOD</w:t>
      </w:r>
      <w:r>
        <w:rPr>
          <w:lang w:val="en-GB"/>
        </w:rPr>
        <w:t xml:space="preserve"> (continued)</w:t>
      </w:r>
    </w:p>
    <w:tbl>
      <w:tblPr>
        <w:tblStyle w:val="TableGrid"/>
        <w:tblW w:w="13993" w:type="dxa"/>
        <w:tblLook w:val="04A0" w:firstRow="1" w:lastRow="0" w:firstColumn="1" w:lastColumn="0" w:noHBand="0" w:noVBand="1"/>
      </w:tblPr>
      <w:tblGrid>
        <w:gridCol w:w="1469"/>
        <w:gridCol w:w="12524"/>
      </w:tblGrid>
      <w:tr w:rsidR="006D6120" w:rsidRPr="00AB0C4E" w14:paraId="4BCFD280" w14:textId="77777777" w:rsidTr="00BF6B45">
        <w:tc>
          <w:tcPr>
            <w:tcW w:w="13993" w:type="dxa"/>
            <w:gridSpan w:val="2"/>
            <w:shd w:val="clear" w:color="auto" w:fill="218F8B" w:themeFill="background2"/>
          </w:tcPr>
          <w:p w14:paraId="1FEF3554" w14:textId="677AA25E" w:rsidR="006D6120" w:rsidRPr="00AB0C4E" w:rsidRDefault="006D6120" w:rsidP="00BF6B45">
            <w:pPr>
              <w:rPr>
                <w:color w:val="FFFFFF" w:themeColor="background1"/>
                <w:lang w:val="en-GB"/>
              </w:rPr>
            </w:pPr>
            <w:r w:rsidRPr="00AB0C4E">
              <w:rPr>
                <w:color w:val="FFFFFF" w:themeColor="background1"/>
                <w:lang w:val="en-GB"/>
              </w:rPr>
              <w:t xml:space="preserve">B.5(b) – </w:t>
            </w:r>
            <w:r w:rsidR="00C109C6" w:rsidRPr="00AB0C4E">
              <w:rPr>
                <w:color w:val="FFFFFF" w:themeColor="background1"/>
                <w:lang w:val="en-GB"/>
              </w:rPr>
              <w:t xml:space="preserve">non-adjusting events after the reporting period </w:t>
            </w:r>
          </w:p>
          <w:p w14:paraId="36DD9CAD" w14:textId="77777777" w:rsidR="006D6120" w:rsidRPr="00AB0C4E" w:rsidRDefault="006D6120" w:rsidP="00BF6B45">
            <w:pPr>
              <w:rPr>
                <w:color w:val="FFFFFF" w:themeColor="background1"/>
                <w:lang w:val="en-GB"/>
              </w:rPr>
            </w:pPr>
          </w:p>
          <w:p w14:paraId="6ED0656C" w14:textId="0C02B663" w:rsidR="006D6120" w:rsidRPr="00AB0C4E" w:rsidRDefault="006D6120" w:rsidP="00BF6B45">
            <w:pPr>
              <w:rPr>
                <w:color w:val="FFFFFF" w:themeColor="background1"/>
                <w:lang w:val="en-GB"/>
              </w:rPr>
            </w:pPr>
            <w:r w:rsidRPr="00AB0C4E">
              <w:rPr>
                <w:color w:val="FFFFFF" w:themeColor="background1"/>
                <w:lang w:val="en-GB"/>
              </w:rPr>
              <w:t xml:space="preserve">Additional information: </w:t>
            </w:r>
            <w:r w:rsidR="0037761F" w:rsidRPr="00AB0C4E">
              <w:rPr>
                <w:color w:val="FFFFFF" w:themeColor="background1"/>
                <w:lang w:val="en-GB"/>
              </w:rPr>
              <w:t xml:space="preserve">on 15 February 2021, the government announces a new wage subsidy program, which will reimburse Z Layout for approximately 65% of its salary expenses retroactively from 1 December 2020 to 31 March 2021. </w:t>
            </w:r>
          </w:p>
        </w:tc>
      </w:tr>
      <w:tr w:rsidR="006D6120" w:rsidRPr="00AB0C4E" w14:paraId="7DB841F6" w14:textId="77777777" w:rsidTr="00BF6B45">
        <w:tc>
          <w:tcPr>
            <w:tcW w:w="1469" w:type="dxa"/>
            <w:shd w:val="clear" w:color="auto" w:fill="657C91" w:themeFill="accent4"/>
          </w:tcPr>
          <w:p w14:paraId="7ECB527C" w14:textId="77777777" w:rsidR="006D6120" w:rsidRPr="00AB0C4E" w:rsidRDefault="006D6120" w:rsidP="00BF6B45">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59286504" w14:textId="77777777" w:rsidR="006D6120" w:rsidRPr="00AB0C4E" w:rsidRDefault="006D6120" w:rsidP="00BF6B45">
            <w:pPr>
              <w:rPr>
                <w:color w:val="FFFFFF" w:themeColor="background1"/>
                <w:lang w:val="en-GB"/>
              </w:rPr>
            </w:pPr>
            <w:r w:rsidRPr="00AB0C4E">
              <w:rPr>
                <w:color w:val="FFFFFF" w:themeColor="background1"/>
                <w:lang w:val="en-GB"/>
              </w:rPr>
              <w:t xml:space="preserve">Illustrative disclosure </w:t>
            </w:r>
          </w:p>
        </w:tc>
      </w:tr>
      <w:tr w:rsidR="006D6120" w:rsidRPr="00AB0C4E" w14:paraId="2D2D8355" w14:textId="77777777" w:rsidTr="00BF6B45">
        <w:tc>
          <w:tcPr>
            <w:tcW w:w="1469" w:type="dxa"/>
            <w:shd w:val="clear" w:color="auto" w:fill="FFFFFF" w:themeFill="background1"/>
          </w:tcPr>
          <w:p w14:paraId="209D6F7A" w14:textId="4F365C59" w:rsidR="006D6120" w:rsidRPr="00AB0C4E" w:rsidRDefault="0037761F" w:rsidP="00BF6B45">
            <w:pPr>
              <w:jc w:val="right"/>
              <w:rPr>
                <w:lang w:val="en-GB"/>
              </w:rPr>
            </w:pPr>
            <w:r w:rsidRPr="00AB0C4E">
              <w:rPr>
                <w:lang w:val="en-GB"/>
              </w:rPr>
              <w:t>IAS 10.21</w:t>
            </w:r>
          </w:p>
        </w:tc>
        <w:tc>
          <w:tcPr>
            <w:tcW w:w="12524" w:type="dxa"/>
            <w:shd w:val="clear" w:color="auto" w:fill="FFFFFF" w:themeFill="background1"/>
          </w:tcPr>
          <w:p w14:paraId="1907C325" w14:textId="77777777" w:rsidR="006D6120" w:rsidRPr="00AB0C4E" w:rsidRDefault="0037761F" w:rsidP="00BF6B45">
            <w:pPr>
              <w:rPr>
                <w:lang w:val="en-GB"/>
              </w:rPr>
            </w:pPr>
            <w:r w:rsidRPr="00AB0C4E">
              <w:rPr>
                <w:lang w:val="en-GB"/>
              </w:rPr>
              <w:t>On 15 February 2021, the federal government announced a new wage subsidy program, the salary protection program (‘</w:t>
            </w:r>
            <w:proofErr w:type="spellStart"/>
            <w:r w:rsidRPr="00AB0C4E">
              <w:rPr>
                <w:lang w:val="en-GB"/>
              </w:rPr>
              <w:t>SPP</w:t>
            </w:r>
            <w:proofErr w:type="spellEnd"/>
            <w:r w:rsidRPr="00AB0C4E">
              <w:rPr>
                <w:lang w:val="en-GB"/>
              </w:rPr>
              <w:t xml:space="preserve">’). </w:t>
            </w:r>
            <w:proofErr w:type="spellStart"/>
            <w:r w:rsidRPr="00AB0C4E">
              <w:rPr>
                <w:lang w:val="en-GB"/>
              </w:rPr>
              <w:t>SPP</w:t>
            </w:r>
            <w:proofErr w:type="spellEnd"/>
            <w:r w:rsidRPr="00AB0C4E">
              <w:rPr>
                <w:lang w:val="en-GB"/>
              </w:rPr>
              <w:t xml:space="preserve"> reimburses eligible employers for a portion of the salary and benefits expenses paid to employees. To qualify for the program, </w:t>
            </w:r>
            <w:r w:rsidR="00397AA7" w:rsidRPr="00AB0C4E">
              <w:rPr>
                <w:lang w:val="en-GB"/>
              </w:rPr>
              <w:t xml:space="preserve">employers must have experienced a significant decrease in revenue, with the subsidy adjusting based on the decrease in revenue compared to the same period in the prior year. The program is retroactive from 1 December 2020 and will continue to at least 31 March 2021. On 21 February 2021, the Company applied for the program for payroll costs incurred from 1 December 2020 to 31 January 2021. Based on the Company’s decrease in revenue, reimbursements are expected to be CU550,000 for the month of December 2020 and CU650,000 for the month of January 2021. </w:t>
            </w:r>
          </w:p>
          <w:p w14:paraId="0536287F" w14:textId="77777777" w:rsidR="00397AA7" w:rsidRPr="00AB0C4E" w:rsidRDefault="00397AA7" w:rsidP="00BF6B45">
            <w:pPr>
              <w:rPr>
                <w:lang w:val="en-GB"/>
              </w:rPr>
            </w:pPr>
          </w:p>
          <w:p w14:paraId="601F55DA" w14:textId="2CDB87E4" w:rsidR="00397AA7" w:rsidRPr="00AB0C4E" w:rsidRDefault="00397AA7" w:rsidP="00BF6B45">
            <w:pPr>
              <w:rPr>
                <w:lang w:val="en-GB"/>
              </w:rPr>
            </w:pPr>
            <w:r w:rsidRPr="00AB0C4E">
              <w:rPr>
                <w:lang w:val="en-GB"/>
              </w:rPr>
              <w:t xml:space="preserve">The subsidy relating to December 2020 has not been reflected in these financial statements because </w:t>
            </w:r>
            <w:r w:rsidR="00297F85" w:rsidRPr="00AB0C4E">
              <w:rPr>
                <w:lang w:val="en-GB"/>
              </w:rPr>
              <w:t>the legislation approving the program had not been enacted by 31 December 2020</w:t>
            </w:r>
            <w:r w:rsidR="00DB5BFA">
              <w:rPr>
                <w:lang w:val="en-GB"/>
              </w:rPr>
              <w:t xml:space="preserve"> and no application was made until 21 February 2021</w:t>
            </w:r>
            <w:r w:rsidR="00297F85" w:rsidRPr="00AB0C4E">
              <w:rPr>
                <w:lang w:val="en-GB"/>
              </w:rPr>
              <w:t>.</w:t>
            </w:r>
            <w:r w:rsidRPr="00AB0C4E">
              <w:rPr>
                <w:lang w:val="en-GB"/>
              </w:rPr>
              <w:t xml:space="preserve">  </w:t>
            </w:r>
          </w:p>
        </w:tc>
      </w:tr>
      <w:tr w:rsidR="006D6120" w:rsidRPr="00AB0C4E" w14:paraId="3EC0C10F" w14:textId="77777777" w:rsidTr="00BF6B45">
        <w:tc>
          <w:tcPr>
            <w:tcW w:w="1469" w:type="dxa"/>
            <w:shd w:val="clear" w:color="auto" w:fill="FFFFFF" w:themeFill="background1"/>
          </w:tcPr>
          <w:p w14:paraId="46142660" w14:textId="77777777" w:rsidR="006D6120" w:rsidRPr="00AB0C4E" w:rsidRDefault="006D6120" w:rsidP="00BF6B45">
            <w:pPr>
              <w:jc w:val="right"/>
              <w:rPr>
                <w:lang w:val="en-GB"/>
              </w:rPr>
            </w:pPr>
          </w:p>
        </w:tc>
        <w:tc>
          <w:tcPr>
            <w:tcW w:w="12524" w:type="dxa"/>
            <w:shd w:val="clear" w:color="auto" w:fill="FFFFFF" w:themeFill="background1"/>
          </w:tcPr>
          <w:p w14:paraId="0E110A31" w14:textId="1DDD6972" w:rsidR="006D6120" w:rsidRPr="00AB0C4E" w:rsidRDefault="006D6120" w:rsidP="00BF6B45">
            <w:pPr>
              <w:rPr>
                <w:lang w:val="en-GB"/>
              </w:rPr>
            </w:pPr>
            <w:r w:rsidRPr="00AB0C4E">
              <w:rPr>
                <w:i/>
                <w:iCs/>
                <w:lang w:val="en-GB"/>
              </w:rPr>
              <w:t xml:space="preserve">Analysis: </w:t>
            </w:r>
            <w:r w:rsidR="00297F85" w:rsidRPr="00AB0C4E">
              <w:rPr>
                <w:i/>
                <w:iCs/>
                <w:lang w:val="en-GB"/>
              </w:rPr>
              <w:t>the introduction of</w:t>
            </w:r>
            <w:r w:rsidR="00DB5BFA">
              <w:rPr>
                <w:i/>
                <w:iCs/>
                <w:lang w:val="en-GB"/>
              </w:rPr>
              <w:t>, and the company’s application for,</w:t>
            </w:r>
            <w:r w:rsidR="00297F85" w:rsidRPr="00AB0C4E">
              <w:rPr>
                <w:i/>
                <w:iCs/>
                <w:lang w:val="en-GB"/>
              </w:rPr>
              <w:t xml:space="preserve"> government support subsequent to period end is an example of a non-adjusting event after the reporting period, because they may be indicative of conditions that arose after the reporting period. IAS 10.21 requires disclosure of such non-adjusting events after the reporting period when non-disclosure could reasonably be expected to influence decisions that the primary users of general purpose financial statements make on the basis of those financial statements. The introduction of a government program subsequent to period end would not affect the period end financial statements, except </w:t>
            </w:r>
            <w:r w:rsidR="00BF6B45" w:rsidRPr="00AB0C4E">
              <w:rPr>
                <w:i/>
                <w:iCs/>
                <w:lang w:val="en-GB"/>
              </w:rPr>
              <w:t xml:space="preserve">if that program affected the entity’s ability to continue as a going concern (see 5.5(a)). </w:t>
            </w:r>
          </w:p>
        </w:tc>
      </w:tr>
    </w:tbl>
    <w:p w14:paraId="0475159E" w14:textId="4D732E82" w:rsidR="00FD2953" w:rsidRDefault="00FD2953" w:rsidP="006E22AC">
      <w:pPr>
        <w:rPr>
          <w:lang w:val="en-GB"/>
        </w:rPr>
      </w:pPr>
      <w:r>
        <w:rPr>
          <w:lang w:val="en-GB"/>
        </w:rPr>
        <w:br w:type="page"/>
      </w:r>
    </w:p>
    <w:p w14:paraId="3AA077D8" w14:textId="4611DCE7" w:rsidR="00F43580" w:rsidRPr="00AB0C4E" w:rsidRDefault="00F43580" w:rsidP="00BF6B45">
      <w:pPr>
        <w:pStyle w:val="2kopBDO"/>
        <w:rPr>
          <w:lang w:val="en-GB"/>
        </w:rPr>
      </w:pPr>
      <w:bookmarkStart w:id="10" w:name="B6"/>
      <w:r w:rsidRPr="00AB0C4E">
        <w:rPr>
          <w:lang w:val="en-GB"/>
        </w:rPr>
        <w:lastRenderedPageBreak/>
        <w:t xml:space="preserve">B.6 </w:t>
      </w:r>
      <w:bookmarkEnd w:id="10"/>
      <w:r w:rsidRPr="00AB0C4E">
        <w:rPr>
          <w:lang w:val="en-GB"/>
        </w:rPr>
        <w:t>– INCOME TAXES</w:t>
      </w:r>
    </w:p>
    <w:tbl>
      <w:tblPr>
        <w:tblStyle w:val="TableGrid"/>
        <w:tblW w:w="13993" w:type="dxa"/>
        <w:tblLook w:val="04A0" w:firstRow="1" w:lastRow="0" w:firstColumn="1" w:lastColumn="0" w:noHBand="0" w:noVBand="1"/>
      </w:tblPr>
      <w:tblGrid>
        <w:gridCol w:w="1469"/>
        <w:gridCol w:w="12524"/>
      </w:tblGrid>
      <w:tr w:rsidR="00F43580" w:rsidRPr="00AB0C4E" w14:paraId="6E0B0A0A" w14:textId="77777777" w:rsidTr="00BF6B45">
        <w:tc>
          <w:tcPr>
            <w:tcW w:w="13993" w:type="dxa"/>
            <w:gridSpan w:val="2"/>
            <w:shd w:val="clear" w:color="auto" w:fill="218F8B" w:themeFill="background2"/>
          </w:tcPr>
          <w:p w14:paraId="392263B9" w14:textId="4BCA9B17" w:rsidR="00F43580" w:rsidRPr="00AB0C4E" w:rsidRDefault="00F43580" w:rsidP="00BF6B45">
            <w:pPr>
              <w:rPr>
                <w:color w:val="FFFFFF" w:themeColor="background1"/>
                <w:lang w:val="en-GB"/>
              </w:rPr>
            </w:pPr>
            <w:r w:rsidRPr="00AB0C4E">
              <w:rPr>
                <w:color w:val="FFFFFF" w:themeColor="background1"/>
                <w:lang w:val="en-GB"/>
              </w:rPr>
              <w:t>B.</w:t>
            </w:r>
            <w:r w:rsidR="00BF6B45" w:rsidRPr="00AB0C4E">
              <w:rPr>
                <w:color w:val="FFFFFF" w:themeColor="background1"/>
                <w:lang w:val="en-GB"/>
              </w:rPr>
              <w:t>6</w:t>
            </w:r>
            <w:r w:rsidRPr="00AB0C4E">
              <w:rPr>
                <w:color w:val="FFFFFF" w:themeColor="background1"/>
                <w:lang w:val="en-GB"/>
              </w:rPr>
              <w:t xml:space="preserve"> – </w:t>
            </w:r>
            <w:r w:rsidR="00BF6B45" w:rsidRPr="00AB0C4E">
              <w:rPr>
                <w:color w:val="FFFFFF" w:themeColor="background1"/>
                <w:lang w:val="en-GB"/>
              </w:rPr>
              <w:t xml:space="preserve">recognition of deferred tax assets when utilisation of the benefit </w:t>
            </w:r>
            <w:r w:rsidR="00456033" w:rsidRPr="00AB0C4E">
              <w:rPr>
                <w:color w:val="FFFFFF" w:themeColor="background1"/>
                <w:lang w:val="en-GB"/>
              </w:rPr>
              <w:t>is</w:t>
            </w:r>
            <w:r w:rsidR="00606297" w:rsidRPr="00AB0C4E">
              <w:rPr>
                <w:color w:val="FFFFFF" w:themeColor="background1"/>
                <w:lang w:val="en-GB"/>
              </w:rPr>
              <w:t xml:space="preserve"> uncertain</w:t>
            </w:r>
          </w:p>
          <w:p w14:paraId="77588A45" w14:textId="77777777" w:rsidR="00F43580" w:rsidRPr="00AB0C4E" w:rsidRDefault="00F43580" w:rsidP="00BF6B45">
            <w:pPr>
              <w:rPr>
                <w:color w:val="FFFFFF" w:themeColor="background1"/>
                <w:lang w:val="en-GB"/>
              </w:rPr>
            </w:pPr>
          </w:p>
          <w:p w14:paraId="1ABD5FA5" w14:textId="3BAA45AB" w:rsidR="00F43580" w:rsidRPr="00AB0C4E" w:rsidRDefault="00F43580" w:rsidP="00BF6B45">
            <w:pPr>
              <w:rPr>
                <w:color w:val="FFFFFF" w:themeColor="background1"/>
                <w:lang w:val="en-GB"/>
              </w:rPr>
            </w:pPr>
            <w:r w:rsidRPr="00AB0C4E">
              <w:rPr>
                <w:color w:val="FFFFFF" w:themeColor="background1"/>
                <w:lang w:val="en-GB"/>
              </w:rPr>
              <w:t>Additional information:</w:t>
            </w:r>
            <w:r w:rsidR="00606297" w:rsidRPr="00AB0C4E">
              <w:rPr>
                <w:color w:val="FFFFFF" w:themeColor="background1"/>
                <w:lang w:val="en-GB"/>
              </w:rPr>
              <w:t xml:space="preserve"> Z Layout has CU3,500,000 of unused tax losses, which may be carried forward to off-set future taxable profits for the next 20 years. Z Layout has incurred a significant loss in the current annual reporting period and a small profit in the previous annual reporting period. The reversal of existing taxable temporary differences over the next 20 years is not significant. </w:t>
            </w:r>
          </w:p>
        </w:tc>
      </w:tr>
      <w:tr w:rsidR="00F43580" w:rsidRPr="00AB0C4E" w14:paraId="1C5BAB0A" w14:textId="77777777" w:rsidTr="00BF6B45">
        <w:tc>
          <w:tcPr>
            <w:tcW w:w="1469" w:type="dxa"/>
            <w:shd w:val="clear" w:color="auto" w:fill="657C91" w:themeFill="accent4"/>
          </w:tcPr>
          <w:p w14:paraId="388D1E50" w14:textId="77777777" w:rsidR="00F43580" w:rsidRPr="00AB0C4E" w:rsidRDefault="00F43580" w:rsidP="00BF6B45">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18D0C67F" w14:textId="77777777" w:rsidR="00F43580" w:rsidRPr="00AB0C4E" w:rsidRDefault="00F43580" w:rsidP="00BF6B45">
            <w:pPr>
              <w:rPr>
                <w:color w:val="FFFFFF" w:themeColor="background1"/>
                <w:lang w:val="en-GB"/>
              </w:rPr>
            </w:pPr>
            <w:r w:rsidRPr="00AB0C4E">
              <w:rPr>
                <w:color w:val="FFFFFF" w:themeColor="background1"/>
                <w:lang w:val="en-GB"/>
              </w:rPr>
              <w:t xml:space="preserve">Illustrative disclosure </w:t>
            </w:r>
          </w:p>
        </w:tc>
      </w:tr>
      <w:tr w:rsidR="00F43580" w:rsidRPr="00AB0C4E" w14:paraId="678B2784" w14:textId="77777777" w:rsidTr="00BF6B45">
        <w:tc>
          <w:tcPr>
            <w:tcW w:w="1469" w:type="dxa"/>
            <w:shd w:val="clear" w:color="auto" w:fill="FFFFFF" w:themeFill="background1"/>
          </w:tcPr>
          <w:p w14:paraId="420B1CFA" w14:textId="77777777" w:rsidR="00F43580" w:rsidRPr="00AB0C4E" w:rsidRDefault="002E2221" w:rsidP="00BF6B45">
            <w:pPr>
              <w:jc w:val="right"/>
              <w:rPr>
                <w:lang w:val="en-GB"/>
              </w:rPr>
            </w:pPr>
            <w:r w:rsidRPr="00AB0C4E">
              <w:rPr>
                <w:lang w:val="en-GB"/>
              </w:rPr>
              <w:t>IAS 12.82</w:t>
            </w:r>
          </w:p>
          <w:p w14:paraId="672DCB81" w14:textId="77777777" w:rsidR="00EC2399" w:rsidRPr="00AB0C4E" w:rsidRDefault="00EC2399" w:rsidP="00BF6B45">
            <w:pPr>
              <w:jc w:val="right"/>
              <w:rPr>
                <w:lang w:val="en-GB"/>
              </w:rPr>
            </w:pPr>
          </w:p>
          <w:p w14:paraId="059F2BA0" w14:textId="77777777" w:rsidR="00EC2399" w:rsidRPr="00AB0C4E" w:rsidRDefault="00EC2399" w:rsidP="00BF6B45">
            <w:pPr>
              <w:jc w:val="right"/>
              <w:rPr>
                <w:lang w:val="en-GB"/>
              </w:rPr>
            </w:pPr>
          </w:p>
          <w:p w14:paraId="690DB670" w14:textId="77777777" w:rsidR="00EC2399" w:rsidRPr="00AB0C4E" w:rsidRDefault="00EC2399" w:rsidP="00BF6B45">
            <w:pPr>
              <w:jc w:val="right"/>
              <w:rPr>
                <w:lang w:val="en-GB"/>
              </w:rPr>
            </w:pPr>
          </w:p>
          <w:p w14:paraId="41B399F6" w14:textId="77777777" w:rsidR="00EC2399" w:rsidRPr="00AB0C4E" w:rsidRDefault="00EC2399" w:rsidP="00BF6B45">
            <w:pPr>
              <w:jc w:val="right"/>
              <w:rPr>
                <w:lang w:val="en-GB"/>
              </w:rPr>
            </w:pPr>
          </w:p>
          <w:p w14:paraId="34A4E3A4" w14:textId="77777777" w:rsidR="00EC2399" w:rsidRPr="00AB0C4E" w:rsidRDefault="00EC2399" w:rsidP="00BF6B45">
            <w:pPr>
              <w:jc w:val="right"/>
              <w:rPr>
                <w:lang w:val="en-GB"/>
              </w:rPr>
            </w:pPr>
          </w:p>
          <w:p w14:paraId="700B3B6B" w14:textId="77777777" w:rsidR="00EC2399" w:rsidRPr="00AB0C4E" w:rsidRDefault="00EC2399" w:rsidP="00BF6B45">
            <w:pPr>
              <w:jc w:val="right"/>
              <w:rPr>
                <w:lang w:val="en-GB"/>
              </w:rPr>
            </w:pPr>
          </w:p>
          <w:p w14:paraId="0816937C" w14:textId="77777777" w:rsidR="00EC2399" w:rsidRPr="00AB0C4E" w:rsidRDefault="00EC2399" w:rsidP="00BF6B45">
            <w:pPr>
              <w:jc w:val="right"/>
              <w:rPr>
                <w:lang w:val="en-GB"/>
              </w:rPr>
            </w:pPr>
          </w:p>
          <w:p w14:paraId="4A94032E" w14:textId="77777777" w:rsidR="00EC2399" w:rsidRPr="00AB0C4E" w:rsidRDefault="00EC2399" w:rsidP="00BF6B45">
            <w:pPr>
              <w:jc w:val="right"/>
              <w:rPr>
                <w:lang w:val="en-GB"/>
              </w:rPr>
            </w:pPr>
          </w:p>
          <w:p w14:paraId="03BD5B41" w14:textId="4B19523B" w:rsidR="00EC2399" w:rsidRPr="00AB0C4E" w:rsidRDefault="00EC2399" w:rsidP="00BF6B45">
            <w:pPr>
              <w:jc w:val="right"/>
              <w:rPr>
                <w:lang w:val="en-GB"/>
              </w:rPr>
            </w:pPr>
            <w:r w:rsidRPr="00AB0C4E">
              <w:rPr>
                <w:lang w:val="en-GB"/>
              </w:rPr>
              <w:t>IAS 1.129</w:t>
            </w:r>
            <w:r w:rsidR="0029112E" w:rsidRPr="00AB0C4E">
              <w:rPr>
                <w:lang w:val="en-GB"/>
              </w:rPr>
              <w:t>(a)</w:t>
            </w:r>
          </w:p>
        </w:tc>
        <w:tc>
          <w:tcPr>
            <w:tcW w:w="12524" w:type="dxa"/>
            <w:shd w:val="clear" w:color="auto" w:fill="FFFFFF" w:themeFill="background1"/>
          </w:tcPr>
          <w:p w14:paraId="49E9E0AD" w14:textId="46909731" w:rsidR="00F43580" w:rsidRPr="00AB0C4E" w:rsidRDefault="002E2221" w:rsidP="00BF6B45">
            <w:pPr>
              <w:rPr>
                <w:lang w:val="en-GB"/>
              </w:rPr>
            </w:pPr>
            <w:r w:rsidRPr="00AB0C4E">
              <w:rPr>
                <w:lang w:val="en-GB"/>
              </w:rPr>
              <w:t xml:space="preserve">The Company has recognised a deferred tax asset of CU875,000, which relates to </w:t>
            </w:r>
            <w:r w:rsidR="00137FCA" w:rsidRPr="00AB0C4E">
              <w:rPr>
                <w:lang w:val="en-GB"/>
              </w:rPr>
              <w:t xml:space="preserve">CU3,500,000 of </w:t>
            </w:r>
            <w:r w:rsidRPr="00AB0C4E">
              <w:rPr>
                <w:lang w:val="en-GB"/>
              </w:rPr>
              <w:t xml:space="preserve">unused tax losses, which may be carried forward to reduce taxable income for the next 20 years. As the Company has suffered a loss in the current period and the utilisation of the deferred tax asset is dependent on future taxable profits in excess of the profits arising from the reversal of existing </w:t>
            </w:r>
            <w:r w:rsidR="00025EFC" w:rsidRPr="00AB0C4E">
              <w:rPr>
                <w:lang w:val="en-GB"/>
              </w:rPr>
              <w:t xml:space="preserve">taxable temporary differences, the Company is required to disclose the evidence supporting </w:t>
            </w:r>
            <w:r w:rsidR="00137FCA" w:rsidRPr="00AB0C4E">
              <w:rPr>
                <w:lang w:val="en-GB"/>
              </w:rPr>
              <w:t>the</w:t>
            </w:r>
            <w:r w:rsidR="00025EFC" w:rsidRPr="00AB0C4E">
              <w:rPr>
                <w:lang w:val="en-GB"/>
              </w:rPr>
              <w:t xml:space="preserve"> recognition</w:t>
            </w:r>
            <w:r w:rsidR="00137FCA" w:rsidRPr="00AB0C4E">
              <w:rPr>
                <w:lang w:val="en-GB"/>
              </w:rPr>
              <w:t xml:space="preserve"> of the deferred tax asset</w:t>
            </w:r>
            <w:r w:rsidR="00025EFC" w:rsidRPr="00AB0C4E">
              <w:rPr>
                <w:lang w:val="en-GB"/>
              </w:rPr>
              <w:t>.</w:t>
            </w:r>
          </w:p>
          <w:p w14:paraId="0E56EBF5" w14:textId="77777777" w:rsidR="00025EFC" w:rsidRPr="00AB0C4E" w:rsidRDefault="00025EFC" w:rsidP="00BF6B45">
            <w:pPr>
              <w:rPr>
                <w:lang w:val="en-GB"/>
              </w:rPr>
            </w:pPr>
          </w:p>
          <w:p w14:paraId="5CB43A93" w14:textId="77777777" w:rsidR="00025EFC" w:rsidRPr="00AB0C4E" w:rsidRDefault="00137FCA" w:rsidP="00BF6B45">
            <w:pPr>
              <w:rPr>
                <w:lang w:val="en-GB"/>
              </w:rPr>
            </w:pPr>
            <w:r w:rsidRPr="00AB0C4E">
              <w:rPr>
                <w:lang w:val="en-GB"/>
              </w:rPr>
              <w:t xml:space="preserve">Based on the improving fiscal performance of the Company in 2021, and the development of viable COVID-19 vaccines to mitigate the effect of closures and social distancing, the Company expects to return to 85% of pre-pandemic cash flows by the end of 2021. Based on management’s forecast of future taxable profits, the </w:t>
            </w:r>
            <w:r w:rsidR="00E90F47" w:rsidRPr="00AB0C4E">
              <w:rPr>
                <w:lang w:val="en-GB"/>
              </w:rPr>
              <w:t>tax losses should be fully utilised by the end of 2023.</w:t>
            </w:r>
          </w:p>
          <w:p w14:paraId="450505F8" w14:textId="77777777" w:rsidR="00E90F47" w:rsidRPr="00AB0C4E" w:rsidRDefault="00E90F47" w:rsidP="00BF6B45">
            <w:pPr>
              <w:rPr>
                <w:lang w:val="en-GB"/>
              </w:rPr>
            </w:pPr>
          </w:p>
          <w:p w14:paraId="12627E12" w14:textId="34E1E419" w:rsidR="00E90F47" w:rsidRPr="00AB0C4E" w:rsidRDefault="00E90F47" w:rsidP="00BF6B45">
            <w:pPr>
              <w:rPr>
                <w:lang w:val="en-GB"/>
              </w:rPr>
            </w:pPr>
            <w:r w:rsidRPr="00AB0C4E">
              <w:rPr>
                <w:lang w:val="en-GB"/>
              </w:rPr>
              <w:t xml:space="preserve">Included in </w:t>
            </w:r>
            <w:r w:rsidR="00EC2399" w:rsidRPr="00AB0C4E">
              <w:rPr>
                <w:lang w:val="en-GB"/>
              </w:rPr>
              <w:t xml:space="preserve">management’s assumptions </w:t>
            </w:r>
            <w:r w:rsidR="0029112E" w:rsidRPr="00AB0C4E">
              <w:rPr>
                <w:lang w:val="en-GB"/>
              </w:rPr>
              <w:t>is the expectation that substantially all government-imposed closures and social distancing requirements will be lifted by 31 August 2021, with gyms and health spas reopening in cities representing 80% of the Company’s major customers by 30 June 2021.</w:t>
            </w:r>
          </w:p>
        </w:tc>
      </w:tr>
      <w:tr w:rsidR="00606297" w:rsidRPr="00AB0C4E" w14:paraId="2F2CE80B" w14:textId="77777777" w:rsidTr="00BF6B45">
        <w:tc>
          <w:tcPr>
            <w:tcW w:w="1469" w:type="dxa"/>
            <w:shd w:val="clear" w:color="auto" w:fill="FFFFFF" w:themeFill="background1"/>
          </w:tcPr>
          <w:p w14:paraId="2EBA75FE" w14:textId="77777777" w:rsidR="00606297" w:rsidRPr="00AB0C4E" w:rsidRDefault="00606297" w:rsidP="00BF6B45">
            <w:pPr>
              <w:jc w:val="right"/>
              <w:rPr>
                <w:lang w:val="en-GB"/>
              </w:rPr>
            </w:pPr>
          </w:p>
        </w:tc>
        <w:tc>
          <w:tcPr>
            <w:tcW w:w="12524" w:type="dxa"/>
            <w:shd w:val="clear" w:color="auto" w:fill="FFFFFF" w:themeFill="background1"/>
          </w:tcPr>
          <w:p w14:paraId="424D6BC9" w14:textId="206BD1A6" w:rsidR="00606297" w:rsidRPr="00AB0C4E" w:rsidRDefault="00606297" w:rsidP="00BF6B45">
            <w:pPr>
              <w:rPr>
                <w:lang w:val="en-GB"/>
              </w:rPr>
            </w:pPr>
            <w:r w:rsidRPr="00AB0C4E">
              <w:rPr>
                <w:i/>
                <w:iCs/>
                <w:lang w:val="en-GB"/>
              </w:rPr>
              <w:t xml:space="preserve">Analysis: </w:t>
            </w:r>
            <w:r w:rsidR="00456033" w:rsidRPr="00AB0C4E">
              <w:rPr>
                <w:i/>
                <w:iCs/>
                <w:lang w:val="en-GB"/>
              </w:rPr>
              <w:t>IAS 12.82 requires disclosure of the evidence supporting the recognition of a deferred tax asset when conditions are met (see Section A). In addition to the evidence supporting its recognition, management of Z Layout considered the estimates made in estimating that support to be significant, and therefore disclosed additional information as required by IAS 1.12</w:t>
            </w:r>
            <w:r w:rsidR="00E90F47" w:rsidRPr="00AB0C4E">
              <w:rPr>
                <w:i/>
                <w:iCs/>
                <w:lang w:val="en-GB"/>
              </w:rPr>
              <w:t>5</w:t>
            </w:r>
            <w:r w:rsidR="00456033" w:rsidRPr="00AB0C4E">
              <w:rPr>
                <w:i/>
                <w:iCs/>
                <w:lang w:val="en-GB"/>
              </w:rPr>
              <w:t xml:space="preserve"> and 129</w:t>
            </w:r>
            <w:r w:rsidR="0029112E" w:rsidRPr="00AB0C4E">
              <w:rPr>
                <w:i/>
                <w:iCs/>
                <w:lang w:val="en-GB"/>
              </w:rPr>
              <w:t>(a)</w:t>
            </w:r>
            <w:r w:rsidR="00456033" w:rsidRPr="00AB0C4E">
              <w:rPr>
                <w:i/>
                <w:iCs/>
                <w:lang w:val="en-GB"/>
              </w:rPr>
              <w:t xml:space="preserve">. </w:t>
            </w:r>
          </w:p>
        </w:tc>
      </w:tr>
    </w:tbl>
    <w:p w14:paraId="6BADE230" w14:textId="65043F9E" w:rsidR="00FD2953" w:rsidRDefault="00FD2953" w:rsidP="006E22AC">
      <w:pPr>
        <w:rPr>
          <w:lang w:val="en-GB"/>
        </w:rPr>
      </w:pPr>
      <w:r>
        <w:rPr>
          <w:lang w:val="en-GB"/>
        </w:rPr>
        <w:br w:type="page"/>
      </w:r>
    </w:p>
    <w:p w14:paraId="28BCA816" w14:textId="1B16B2E7" w:rsidR="000C1E9D" w:rsidRPr="00AB0C4E" w:rsidRDefault="00F43580" w:rsidP="00E34B15">
      <w:pPr>
        <w:pStyle w:val="2kopBDO"/>
        <w:rPr>
          <w:lang w:val="en-GB"/>
        </w:rPr>
      </w:pPr>
      <w:bookmarkStart w:id="11" w:name="B7"/>
      <w:r w:rsidRPr="00AB0C4E">
        <w:rPr>
          <w:lang w:val="en-GB"/>
        </w:rPr>
        <w:lastRenderedPageBreak/>
        <w:t xml:space="preserve">B.7 </w:t>
      </w:r>
      <w:bookmarkEnd w:id="11"/>
      <w:r w:rsidRPr="00AB0C4E">
        <w:rPr>
          <w:lang w:val="en-GB"/>
        </w:rPr>
        <w:t>– GOVERNMENT GRANTS AND ASSISTANCE</w:t>
      </w:r>
    </w:p>
    <w:tbl>
      <w:tblPr>
        <w:tblStyle w:val="TableGrid"/>
        <w:tblW w:w="13993" w:type="dxa"/>
        <w:tblLook w:val="04A0" w:firstRow="1" w:lastRow="0" w:firstColumn="1" w:lastColumn="0" w:noHBand="0" w:noVBand="1"/>
      </w:tblPr>
      <w:tblGrid>
        <w:gridCol w:w="1469"/>
        <w:gridCol w:w="12524"/>
      </w:tblGrid>
      <w:tr w:rsidR="000C1E9D" w:rsidRPr="00AB0C4E" w14:paraId="12774777" w14:textId="77777777" w:rsidTr="001F50DB">
        <w:tc>
          <w:tcPr>
            <w:tcW w:w="13993" w:type="dxa"/>
            <w:gridSpan w:val="2"/>
            <w:shd w:val="clear" w:color="auto" w:fill="218F8B" w:themeFill="background2"/>
          </w:tcPr>
          <w:p w14:paraId="6FB1685C" w14:textId="4AD519CB" w:rsidR="000C1E9D" w:rsidRPr="00AB0C4E" w:rsidRDefault="000C1E9D" w:rsidP="001F50DB">
            <w:pPr>
              <w:rPr>
                <w:color w:val="FFFFFF" w:themeColor="background1"/>
                <w:lang w:val="en-GB"/>
              </w:rPr>
            </w:pPr>
            <w:r w:rsidRPr="00AB0C4E">
              <w:rPr>
                <w:color w:val="FFFFFF" w:themeColor="background1"/>
                <w:lang w:val="en-GB"/>
              </w:rPr>
              <w:t>B.</w:t>
            </w:r>
            <w:r w:rsidR="00D240FB" w:rsidRPr="00AB0C4E">
              <w:rPr>
                <w:color w:val="FFFFFF" w:themeColor="background1"/>
                <w:lang w:val="en-GB"/>
              </w:rPr>
              <w:t>7</w:t>
            </w:r>
            <w:r w:rsidRPr="00AB0C4E">
              <w:rPr>
                <w:color w:val="FFFFFF" w:themeColor="background1"/>
                <w:lang w:val="en-GB"/>
              </w:rPr>
              <w:t xml:space="preserve"> – </w:t>
            </w:r>
            <w:r w:rsidR="00D240FB" w:rsidRPr="00AB0C4E">
              <w:rPr>
                <w:color w:val="FFFFFF" w:themeColor="background1"/>
                <w:lang w:val="en-GB"/>
              </w:rPr>
              <w:t xml:space="preserve">disclosure of government grants </w:t>
            </w:r>
          </w:p>
          <w:p w14:paraId="03FD8C15" w14:textId="77777777" w:rsidR="000C1E9D" w:rsidRPr="00AB0C4E" w:rsidRDefault="000C1E9D" w:rsidP="001F50DB">
            <w:pPr>
              <w:rPr>
                <w:color w:val="FFFFFF" w:themeColor="background1"/>
                <w:lang w:val="en-GB"/>
              </w:rPr>
            </w:pPr>
          </w:p>
          <w:p w14:paraId="30F3C271" w14:textId="6F5144B4" w:rsidR="000C1E9D" w:rsidRPr="00AB0C4E" w:rsidRDefault="000C1E9D" w:rsidP="001F50DB">
            <w:pPr>
              <w:rPr>
                <w:color w:val="FFFFFF" w:themeColor="background1"/>
                <w:lang w:val="en-GB"/>
              </w:rPr>
            </w:pPr>
            <w:r w:rsidRPr="00AB0C4E">
              <w:rPr>
                <w:color w:val="FFFFFF" w:themeColor="background1"/>
                <w:lang w:val="en-GB"/>
              </w:rPr>
              <w:t>Additional information:</w:t>
            </w:r>
            <w:r w:rsidR="00D240FB" w:rsidRPr="00AB0C4E">
              <w:rPr>
                <w:color w:val="FFFFFF" w:themeColor="background1"/>
                <w:lang w:val="en-GB"/>
              </w:rPr>
              <w:t xml:space="preserve"> </w:t>
            </w:r>
            <w:r w:rsidR="00B87A4C" w:rsidRPr="00AB0C4E">
              <w:rPr>
                <w:color w:val="FFFFFF" w:themeColor="background1"/>
                <w:lang w:val="en-GB"/>
              </w:rPr>
              <w:t>Z Layout applied for various government grants during the year</w:t>
            </w:r>
            <w:r w:rsidR="00DB5BFA">
              <w:rPr>
                <w:color w:val="FFFFFF" w:themeColor="background1"/>
                <w:lang w:val="en-GB"/>
              </w:rPr>
              <w:t xml:space="preserve"> ended 31 December 2020</w:t>
            </w:r>
            <w:r w:rsidR="00B87A4C" w:rsidRPr="00AB0C4E">
              <w:rPr>
                <w:color w:val="FFFFFF" w:themeColor="background1"/>
                <w:lang w:val="en-GB"/>
              </w:rPr>
              <w:t xml:space="preserve">, one of which is forgivable if Z Layout </w:t>
            </w:r>
            <w:r w:rsidR="003C7148" w:rsidRPr="00AB0C4E">
              <w:rPr>
                <w:color w:val="FFFFFF" w:themeColor="background1"/>
                <w:lang w:val="en-GB"/>
              </w:rPr>
              <w:t>satisfies certain conditions</w:t>
            </w:r>
            <w:r w:rsidR="00B87A4C" w:rsidRPr="00AB0C4E">
              <w:rPr>
                <w:color w:val="FFFFFF" w:themeColor="background1"/>
                <w:lang w:val="en-GB"/>
              </w:rPr>
              <w:t xml:space="preserve">. </w:t>
            </w:r>
          </w:p>
        </w:tc>
      </w:tr>
      <w:tr w:rsidR="000C1E9D" w:rsidRPr="00AB0C4E" w14:paraId="79DEC66B" w14:textId="77777777" w:rsidTr="001F50DB">
        <w:tc>
          <w:tcPr>
            <w:tcW w:w="1469" w:type="dxa"/>
            <w:shd w:val="clear" w:color="auto" w:fill="657C91" w:themeFill="accent4"/>
          </w:tcPr>
          <w:p w14:paraId="04FD4E9D" w14:textId="77777777" w:rsidR="000C1E9D" w:rsidRPr="00AB0C4E" w:rsidRDefault="000C1E9D" w:rsidP="001F50DB">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04BDA139" w14:textId="77777777" w:rsidR="000C1E9D" w:rsidRPr="00AB0C4E" w:rsidRDefault="000C1E9D" w:rsidP="001F50DB">
            <w:pPr>
              <w:rPr>
                <w:color w:val="FFFFFF" w:themeColor="background1"/>
                <w:lang w:val="en-GB"/>
              </w:rPr>
            </w:pPr>
            <w:r w:rsidRPr="00AB0C4E">
              <w:rPr>
                <w:color w:val="FFFFFF" w:themeColor="background1"/>
                <w:lang w:val="en-GB"/>
              </w:rPr>
              <w:t xml:space="preserve">Illustrative disclosure </w:t>
            </w:r>
          </w:p>
        </w:tc>
      </w:tr>
      <w:tr w:rsidR="000C1E9D" w:rsidRPr="00AB0C4E" w14:paraId="24379A03" w14:textId="77777777" w:rsidTr="001F50DB">
        <w:tc>
          <w:tcPr>
            <w:tcW w:w="1469" w:type="dxa"/>
            <w:shd w:val="clear" w:color="auto" w:fill="FFFFFF" w:themeFill="background1"/>
          </w:tcPr>
          <w:p w14:paraId="789742A8" w14:textId="77777777" w:rsidR="000C1E9D" w:rsidRPr="00AB0C4E" w:rsidRDefault="000C1E9D" w:rsidP="001F50DB">
            <w:pPr>
              <w:jc w:val="right"/>
              <w:rPr>
                <w:lang w:val="en-GB"/>
              </w:rPr>
            </w:pPr>
          </w:p>
          <w:p w14:paraId="3A83C187" w14:textId="77777777" w:rsidR="00E84081" w:rsidRPr="00AB0C4E" w:rsidRDefault="00E84081" w:rsidP="001F50DB">
            <w:pPr>
              <w:jc w:val="right"/>
              <w:rPr>
                <w:lang w:val="en-GB"/>
              </w:rPr>
            </w:pPr>
          </w:p>
          <w:p w14:paraId="46BA3AF6" w14:textId="77777777" w:rsidR="005C0764" w:rsidRPr="00AB0C4E" w:rsidRDefault="005C0764" w:rsidP="001F50DB">
            <w:pPr>
              <w:jc w:val="right"/>
              <w:rPr>
                <w:lang w:val="en-GB"/>
              </w:rPr>
            </w:pPr>
          </w:p>
          <w:p w14:paraId="41375541" w14:textId="6008A54C" w:rsidR="00E84081" w:rsidRPr="00AB0C4E" w:rsidRDefault="00E84081" w:rsidP="001F50DB">
            <w:pPr>
              <w:jc w:val="right"/>
              <w:rPr>
                <w:lang w:val="en-GB"/>
              </w:rPr>
            </w:pPr>
            <w:r w:rsidRPr="00AB0C4E">
              <w:rPr>
                <w:lang w:val="en-GB"/>
              </w:rPr>
              <w:t>IAS 20.39(a)</w:t>
            </w:r>
          </w:p>
          <w:p w14:paraId="07CF840B" w14:textId="77777777" w:rsidR="00E84081" w:rsidRPr="00AB0C4E" w:rsidRDefault="00E84081" w:rsidP="001F50DB">
            <w:pPr>
              <w:jc w:val="right"/>
              <w:rPr>
                <w:lang w:val="en-GB"/>
              </w:rPr>
            </w:pPr>
            <w:r w:rsidRPr="00AB0C4E">
              <w:rPr>
                <w:lang w:val="en-GB"/>
              </w:rPr>
              <w:t>IAS 20.39(b)</w:t>
            </w:r>
          </w:p>
          <w:p w14:paraId="60CBC533" w14:textId="77777777" w:rsidR="00E84081" w:rsidRPr="00AB0C4E" w:rsidRDefault="00E84081" w:rsidP="001F50DB">
            <w:pPr>
              <w:jc w:val="right"/>
              <w:rPr>
                <w:lang w:val="en-GB"/>
              </w:rPr>
            </w:pPr>
          </w:p>
          <w:p w14:paraId="69F9C070" w14:textId="11B50F00" w:rsidR="00E84081" w:rsidRPr="00AB0C4E" w:rsidRDefault="00E84081" w:rsidP="001F50DB">
            <w:pPr>
              <w:jc w:val="right"/>
              <w:rPr>
                <w:lang w:val="en-GB"/>
              </w:rPr>
            </w:pPr>
            <w:r w:rsidRPr="00AB0C4E">
              <w:rPr>
                <w:lang w:val="en-GB"/>
              </w:rPr>
              <w:t>IAS 20.39(c)</w:t>
            </w:r>
          </w:p>
          <w:p w14:paraId="6A0D1B02" w14:textId="13D21BC8" w:rsidR="005C0764" w:rsidRPr="00AB0C4E" w:rsidRDefault="005C0764" w:rsidP="001F50DB">
            <w:pPr>
              <w:jc w:val="right"/>
              <w:rPr>
                <w:lang w:val="en-GB"/>
              </w:rPr>
            </w:pPr>
          </w:p>
          <w:p w14:paraId="7E808B63" w14:textId="24705CF6" w:rsidR="005C0764" w:rsidRPr="00AB0C4E" w:rsidRDefault="005C0764" w:rsidP="001F50DB">
            <w:pPr>
              <w:jc w:val="right"/>
              <w:rPr>
                <w:lang w:val="en-GB"/>
              </w:rPr>
            </w:pPr>
          </w:p>
          <w:p w14:paraId="0F9B0F23" w14:textId="77777777" w:rsidR="005C0764" w:rsidRPr="00AB0C4E" w:rsidRDefault="005C0764" w:rsidP="005C0764">
            <w:pPr>
              <w:jc w:val="right"/>
              <w:rPr>
                <w:lang w:val="en-GB"/>
              </w:rPr>
            </w:pPr>
            <w:r w:rsidRPr="00AB0C4E">
              <w:rPr>
                <w:lang w:val="en-GB"/>
              </w:rPr>
              <w:t>IAS 20.39(a)</w:t>
            </w:r>
          </w:p>
          <w:p w14:paraId="4AA07C6B" w14:textId="77777777" w:rsidR="005C0764" w:rsidRPr="00AB0C4E" w:rsidRDefault="005C0764" w:rsidP="005C0764">
            <w:pPr>
              <w:jc w:val="right"/>
              <w:rPr>
                <w:lang w:val="en-GB"/>
              </w:rPr>
            </w:pPr>
            <w:r w:rsidRPr="00AB0C4E">
              <w:rPr>
                <w:lang w:val="en-GB"/>
              </w:rPr>
              <w:t>IAS 20.39(b)</w:t>
            </w:r>
          </w:p>
          <w:p w14:paraId="05AB16EC" w14:textId="564C6773" w:rsidR="005C0764" w:rsidRPr="00AB0C4E" w:rsidRDefault="005C0764" w:rsidP="005C0764">
            <w:pPr>
              <w:jc w:val="right"/>
              <w:rPr>
                <w:lang w:val="en-GB"/>
              </w:rPr>
            </w:pPr>
            <w:r w:rsidRPr="00AB0C4E">
              <w:rPr>
                <w:lang w:val="en-GB"/>
              </w:rPr>
              <w:t>IAS 20.39(c)</w:t>
            </w:r>
          </w:p>
          <w:p w14:paraId="3335E1CD" w14:textId="77777777" w:rsidR="00E84081" w:rsidRPr="00AB0C4E" w:rsidRDefault="00E84081" w:rsidP="001F50DB">
            <w:pPr>
              <w:jc w:val="right"/>
              <w:rPr>
                <w:lang w:val="en-GB"/>
              </w:rPr>
            </w:pPr>
          </w:p>
          <w:p w14:paraId="124CF04E" w14:textId="77777777" w:rsidR="00E84081" w:rsidRPr="00AB0C4E" w:rsidRDefault="00E84081" w:rsidP="001F50DB">
            <w:pPr>
              <w:jc w:val="right"/>
              <w:rPr>
                <w:lang w:val="en-GB"/>
              </w:rPr>
            </w:pPr>
          </w:p>
          <w:p w14:paraId="726EF858" w14:textId="5A892CEB" w:rsidR="00521841" w:rsidRPr="00AB0C4E" w:rsidRDefault="00521841" w:rsidP="001F50DB">
            <w:pPr>
              <w:jc w:val="right"/>
              <w:rPr>
                <w:lang w:val="en-GB"/>
              </w:rPr>
            </w:pPr>
            <w:r w:rsidRPr="00AB0C4E">
              <w:rPr>
                <w:lang w:val="en-GB"/>
              </w:rPr>
              <w:t>IAS 1.122</w:t>
            </w:r>
          </w:p>
        </w:tc>
        <w:tc>
          <w:tcPr>
            <w:tcW w:w="12524" w:type="dxa"/>
            <w:shd w:val="clear" w:color="auto" w:fill="FFFFFF" w:themeFill="background1"/>
          </w:tcPr>
          <w:p w14:paraId="32A34DE7" w14:textId="017E15DF" w:rsidR="0029112E" w:rsidRPr="00AB0C4E" w:rsidRDefault="00E84081" w:rsidP="0029112E">
            <w:pPr>
              <w:rPr>
                <w:rFonts w:cstheme="minorHAnsi"/>
                <w:snapToGrid w:val="0"/>
                <w:lang w:val="en-GB"/>
              </w:rPr>
            </w:pPr>
            <w:r w:rsidRPr="00AB0C4E">
              <w:rPr>
                <w:rFonts w:cstheme="minorHAnsi"/>
                <w:snapToGrid w:val="0"/>
                <w:lang w:val="en-GB"/>
              </w:rPr>
              <w:t>The Company</w:t>
            </w:r>
            <w:r w:rsidR="0029112E" w:rsidRPr="00AB0C4E">
              <w:rPr>
                <w:rFonts w:cstheme="minorHAnsi"/>
                <w:snapToGrid w:val="0"/>
                <w:lang w:val="en-GB"/>
              </w:rPr>
              <w:t xml:space="preserve"> applied for various government support programs introduced in response to the global pandemic. </w:t>
            </w:r>
          </w:p>
          <w:p w14:paraId="3DF06C56" w14:textId="77777777" w:rsidR="0029112E" w:rsidRPr="00AB0C4E" w:rsidRDefault="0029112E" w:rsidP="0029112E">
            <w:pPr>
              <w:ind w:left="540"/>
              <w:rPr>
                <w:rFonts w:cstheme="minorHAnsi"/>
                <w:snapToGrid w:val="0"/>
                <w:lang w:val="en-GB"/>
              </w:rPr>
            </w:pPr>
          </w:p>
          <w:p w14:paraId="7618417C" w14:textId="0090A728" w:rsidR="005C0764" w:rsidRPr="00AB0C4E" w:rsidRDefault="005C0764" w:rsidP="0029112E">
            <w:pPr>
              <w:rPr>
                <w:rFonts w:cstheme="minorHAnsi"/>
                <w:snapToGrid w:val="0"/>
                <w:u w:val="single"/>
                <w:lang w:val="en-GB"/>
              </w:rPr>
            </w:pPr>
            <w:r w:rsidRPr="00AB0C4E">
              <w:rPr>
                <w:rFonts w:cstheme="minorHAnsi"/>
                <w:snapToGrid w:val="0"/>
                <w:u w:val="single"/>
                <w:lang w:val="en-GB"/>
              </w:rPr>
              <w:t>Payroll support</w:t>
            </w:r>
          </w:p>
          <w:p w14:paraId="4B78FBC7" w14:textId="4392E998" w:rsidR="0029112E" w:rsidRPr="00AB0C4E" w:rsidRDefault="0029112E" w:rsidP="0029112E">
            <w:pPr>
              <w:rPr>
                <w:rFonts w:cstheme="minorHAnsi"/>
                <w:snapToGrid w:val="0"/>
                <w:lang w:val="en-GB"/>
              </w:rPr>
            </w:pPr>
            <w:r w:rsidRPr="00AB0C4E">
              <w:rPr>
                <w:rFonts w:cstheme="minorHAnsi"/>
                <w:snapToGrid w:val="0"/>
                <w:lang w:val="en-GB"/>
              </w:rPr>
              <w:t>Included in profit or loss is CU1</w:t>
            </w:r>
            <w:r w:rsidR="00E84081" w:rsidRPr="00AB0C4E">
              <w:rPr>
                <w:rFonts w:cstheme="minorHAnsi"/>
                <w:snapToGrid w:val="0"/>
                <w:lang w:val="en-GB"/>
              </w:rPr>
              <w:t>,000,000</w:t>
            </w:r>
            <w:r w:rsidRPr="00AB0C4E">
              <w:rPr>
                <w:rFonts w:cstheme="minorHAnsi"/>
                <w:snapToGrid w:val="0"/>
                <w:lang w:val="en-GB"/>
              </w:rPr>
              <w:t xml:space="preserve"> of government grants obtained relating to supporting the payroll </w:t>
            </w:r>
            <w:r w:rsidR="00E84081" w:rsidRPr="00AB0C4E">
              <w:rPr>
                <w:rFonts w:cstheme="minorHAnsi"/>
                <w:snapToGrid w:val="0"/>
                <w:lang w:val="en-GB"/>
              </w:rPr>
              <w:t>of the Company’s</w:t>
            </w:r>
            <w:r w:rsidRPr="00AB0C4E">
              <w:rPr>
                <w:rFonts w:cstheme="minorHAnsi"/>
                <w:snapToGrid w:val="0"/>
                <w:lang w:val="en-GB"/>
              </w:rPr>
              <w:t xml:space="preserve"> employees. </w:t>
            </w:r>
            <w:r w:rsidR="00E84081" w:rsidRPr="00AB0C4E">
              <w:rPr>
                <w:rFonts w:cstheme="minorHAnsi"/>
                <w:snapToGrid w:val="0"/>
                <w:lang w:val="en-GB"/>
              </w:rPr>
              <w:t>The Company</w:t>
            </w:r>
            <w:r w:rsidRPr="00AB0C4E">
              <w:rPr>
                <w:rFonts w:cstheme="minorHAnsi"/>
                <w:snapToGrid w:val="0"/>
                <w:lang w:val="en-GB"/>
              </w:rPr>
              <w:t xml:space="preserve"> has elected to present this government grant separately, rather than reducing the related expense. </w:t>
            </w:r>
            <w:r w:rsidR="00E84081" w:rsidRPr="00AB0C4E">
              <w:rPr>
                <w:rFonts w:cstheme="minorHAnsi"/>
                <w:snapToGrid w:val="0"/>
                <w:lang w:val="en-GB"/>
              </w:rPr>
              <w:t>The Company</w:t>
            </w:r>
            <w:r w:rsidRPr="00AB0C4E">
              <w:rPr>
                <w:rFonts w:cstheme="minorHAnsi"/>
                <w:snapToGrid w:val="0"/>
                <w:lang w:val="en-GB"/>
              </w:rPr>
              <w:t xml:space="preserve"> had to commit to spending the assistance on payroll expenses, and not reduce employee head count below prescribed levels for a specified period of time. </w:t>
            </w:r>
            <w:r w:rsidR="00E84081" w:rsidRPr="00AB0C4E">
              <w:rPr>
                <w:rFonts w:cstheme="minorHAnsi"/>
                <w:snapToGrid w:val="0"/>
                <w:lang w:val="en-GB"/>
              </w:rPr>
              <w:t>The Company</w:t>
            </w:r>
            <w:r w:rsidRPr="00AB0C4E">
              <w:rPr>
                <w:rFonts w:cstheme="minorHAnsi"/>
                <w:snapToGrid w:val="0"/>
                <w:lang w:val="en-GB"/>
              </w:rPr>
              <w:t xml:space="preserve"> does not have any unfulfilled obligations relating to this program.</w:t>
            </w:r>
          </w:p>
          <w:p w14:paraId="7B5FE7A4" w14:textId="48696300" w:rsidR="0029112E" w:rsidRPr="00AB0C4E" w:rsidRDefault="0029112E" w:rsidP="0029112E">
            <w:pPr>
              <w:ind w:left="540"/>
              <w:rPr>
                <w:rFonts w:cstheme="minorHAnsi"/>
                <w:snapToGrid w:val="0"/>
                <w:lang w:val="en-GB"/>
              </w:rPr>
            </w:pPr>
          </w:p>
          <w:p w14:paraId="0E07DD0F" w14:textId="0DAA79A0" w:rsidR="005C0764" w:rsidRPr="00AB0C4E" w:rsidRDefault="005C0764" w:rsidP="005C0764">
            <w:pPr>
              <w:rPr>
                <w:rFonts w:cstheme="minorHAnsi"/>
                <w:snapToGrid w:val="0"/>
                <w:u w:val="single"/>
                <w:lang w:val="en-GB"/>
              </w:rPr>
            </w:pPr>
            <w:r w:rsidRPr="00AB0C4E">
              <w:rPr>
                <w:rFonts w:cstheme="minorHAnsi"/>
                <w:snapToGrid w:val="0"/>
                <w:u w:val="single"/>
                <w:lang w:val="en-GB"/>
              </w:rPr>
              <w:t>Forgivable loans</w:t>
            </w:r>
          </w:p>
          <w:p w14:paraId="2946836D" w14:textId="3E8112D2" w:rsidR="0029112E" w:rsidRPr="00AB0C4E" w:rsidRDefault="0029112E" w:rsidP="0029112E">
            <w:pPr>
              <w:rPr>
                <w:rFonts w:cstheme="minorHAnsi"/>
                <w:snapToGrid w:val="0"/>
                <w:lang w:val="en-GB"/>
              </w:rPr>
            </w:pPr>
            <w:r w:rsidRPr="00AB0C4E">
              <w:rPr>
                <w:rFonts w:cstheme="minorHAnsi"/>
                <w:snapToGrid w:val="0"/>
                <w:lang w:val="en-GB"/>
              </w:rPr>
              <w:t>Included in profit or loss is CU4</w:t>
            </w:r>
            <w:r w:rsidR="00E84081" w:rsidRPr="00AB0C4E">
              <w:rPr>
                <w:rFonts w:cstheme="minorHAnsi"/>
                <w:snapToGrid w:val="0"/>
                <w:lang w:val="en-GB"/>
              </w:rPr>
              <w:t>00,000</w:t>
            </w:r>
            <w:r w:rsidRPr="00AB0C4E">
              <w:rPr>
                <w:rFonts w:cstheme="minorHAnsi"/>
                <w:snapToGrid w:val="0"/>
                <w:lang w:val="en-GB"/>
              </w:rPr>
              <w:t xml:space="preserve"> of government grants relating to forgivable loans. </w:t>
            </w:r>
            <w:r w:rsidR="00E84081" w:rsidRPr="00AB0C4E">
              <w:rPr>
                <w:rFonts w:cstheme="minorHAnsi"/>
                <w:snapToGrid w:val="0"/>
                <w:lang w:val="en-GB"/>
              </w:rPr>
              <w:t>The Company</w:t>
            </w:r>
            <w:r w:rsidRPr="00AB0C4E">
              <w:rPr>
                <w:rFonts w:cstheme="minorHAnsi"/>
                <w:snapToGrid w:val="0"/>
                <w:lang w:val="en-GB"/>
              </w:rPr>
              <w:t xml:space="preserve"> is required to repay the loan to the federal government of country B on 31 December 202</w:t>
            </w:r>
            <w:r w:rsidR="00E84081" w:rsidRPr="00AB0C4E">
              <w:rPr>
                <w:rFonts w:cstheme="minorHAnsi"/>
                <w:snapToGrid w:val="0"/>
                <w:lang w:val="en-GB"/>
              </w:rPr>
              <w:t>1</w:t>
            </w:r>
            <w:r w:rsidRPr="00AB0C4E">
              <w:rPr>
                <w:rFonts w:cstheme="minorHAnsi"/>
                <w:snapToGrid w:val="0"/>
                <w:lang w:val="en-GB"/>
              </w:rPr>
              <w:t xml:space="preserve"> if it terminates the employment of a certain percentage of its employees in that country. As there is reasonable assurance that </w:t>
            </w:r>
            <w:r w:rsidR="00E84081" w:rsidRPr="00AB0C4E">
              <w:rPr>
                <w:rFonts w:cstheme="minorHAnsi"/>
                <w:snapToGrid w:val="0"/>
                <w:lang w:val="en-GB"/>
              </w:rPr>
              <w:t>the Company</w:t>
            </w:r>
            <w:r w:rsidRPr="00AB0C4E">
              <w:rPr>
                <w:rFonts w:cstheme="minorHAnsi"/>
                <w:snapToGrid w:val="0"/>
                <w:lang w:val="en-GB"/>
              </w:rPr>
              <w:t xml:space="preserve"> will meet the terms for the loan to be forgiven, it has been accounted for as a government grant. </w:t>
            </w:r>
          </w:p>
          <w:p w14:paraId="09573A9B" w14:textId="726FF691" w:rsidR="00521841" w:rsidRPr="00AB0C4E" w:rsidRDefault="00521841" w:rsidP="0029112E">
            <w:pPr>
              <w:rPr>
                <w:rFonts w:cstheme="minorHAnsi"/>
                <w:snapToGrid w:val="0"/>
                <w:lang w:val="en-GB"/>
              </w:rPr>
            </w:pPr>
          </w:p>
          <w:p w14:paraId="4C530399" w14:textId="2C420480" w:rsidR="00521841" w:rsidRPr="00AB0C4E" w:rsidRDefault="00521841" w:rsidP="0029112E">
            <w:pPr>
              <w:rPr>
                <w:rFonts w:cstheme="minorHAnsi"/>
                <w:snapToGrid w:val="0"/>
                <w:lang w:val="en-GB"/>
              </w:rPr>
            </w:pPr>
            <w:r w:rsidRPr="00AB0C4E">
              <w:rPr>
                <w:rFonts w:cstheme="minorHAnsi"/>
                <w:snapToGrid w:val="0"/>
                <w:lang w:val="en-GB"/>
              </w:rPr>
              <w:t xml:space="preserve">In assessing </w:t>
            </w:r>
            <w:r w:rsidR="005C78A4" w:rsidRPr="00AB0C4E">
              <w:rPr>
                <w:rFonts w:cstheme="minorHAnsi"/>
                <w:snapToGrid w:val="0"/>
                <w:lang w:val="en-GB"/>
              </w:rPr>
              <w:t xml:space="preserve">whether there is reasonable assurance that the Company will meet the terms of the loan for it to be forgiven, the Company estimated its cash flows for 2021 and determined that </w:t>
            </w:r>
            <w:r w:rsidR="00BD6C95">
              <w:rPr>
                <w:rFonts w:cstheme="minorHAnsi"/>
                <w:snapToGrid w:val="0"/>
                <w:lang w:val="en-GB"/>
              </w:rPr>
              <w:t xml:space="preserve">there is reasonable assurance that it will retain sufficient employees such that the </w:t>
            </w:r>
            <w:r w:rsidR="0025435E">
              <w:rPr>
                <w:rFonts w:cstheme="minorHAnsi"/>
                <w:snapToGrid w:val="0"/>
                <w:lang w:val="en-GB"/>
              </w:rPr>
              <w:t>terms of the loan forgiveness will be satisfied</w:t>
            </w:r>
            <w:r w:rsidR="005C78A4" w:rsidRPr="00AB0C4E">
              <w:rPr>
                <w:rFonts w:cstheme="minorHAnsi"/>
                <w:snapToGrid w:val="0"/>
                <w:lang w:val="en-GB"/>
              </w:rPr>
              <w:t xml:space="preserve">. This may not be the case if assumptions relating to the return to normal operations and cash flows are incorrect (see note X – going concern assessment). </w:t>
            </w:r>
            <w:r w:rsidR="001A6C2F" w:rsidRPr="00AB0C4E">
              <w:rPr>
                <w:rFonts w:cstheme="minorHAnsi"/>
                <w:snapToGrid w:val="0"/>
                <w:lang w:val="en-GB"/>
              </w:rPr>
              <w:t xml:space="preserve">If operations and cash flows do not return to pre-pandemic levels by 31 October 2021, the Company will likely not have sufficient liquidity to repay the loan. </w:t>
            </w:r>
            <w:r w:rsidR="005C78A4" w:rsidRPr="00AB0C4E">
              <w:rPr>
                <w:rFonts w:cstheme="minorHAnsi"/>
                <w:snapToGrid w:val="0"/>
                <w:lang w:val="en-GB"/>
              </w:rPr>
              <w:t xml:space="preserve">For a maturity table of financial liabilities, see note X. </w:t>
            </w:r>
          </w:p>
          <w:p w14:paraId="112CC863" w14:textId="77777777" w:rsidR="0029112E" w:rsidRPr="00AB0C4E" w:rsidRDefault="0029112E" w:rsidP="0029112E">
            <w:pPr>
              <w:ind w:left="540"/>
              <w:rPr>
                <w:rFonts w:cstheme="minorHAnsi"/>
                <w:snapToGrid w:val="0"/>
                <w:lang w:val="en-GB"/>
              </w:rPr>
            </w:pPr>
          </w:p>
          <w:p w14:paraId="263A4361" w14:textId="6872F33E" w:rsidR="000C1E9D" w:rsidRPr="00AB0C4E" w:rsidRDefault="0029112E" w:rsidP="001F50DB">
            <w:pPr>
              <w:rPr>
                <w:rFonts w:cstheme="minorHAnsi"/>
                <w:snapToGrid w:val="0"/>
                <w:lang w:val="en-GB"/>
              </w:rPr>
            </w:pPr>
            <w:r w:rsidRPr="00AB0C4E">
              <w:rPr>
                <w:rFonts w:cstheme="minorHAnsi"/>
                <w:snapToGrid w:val="0"/>
                <w:lang w:val="en-GB"/>
              </w:rPr>
              <w:t>A Layout has applied for additional government grants, which did not meet the recognition criteria as at 3</w:t>
            </w:r>
            <w:r w:rsidR="00E84081" w:rsidRPr="00AB0C4E">
              <w:rPr>
                <w:rFonts w:cstheme="minorHAnsi"/>
                <w:snapToGrid w:val="0"/>
                <w:lang w:val="en-GB"/>
              </w:rPr>
              <w:t>1</w:t>
            </w:r>
            <w:r w:rsidRPr="00AB0C4E">
              <w:rPr>
                <w:rFonts w:cstheme="minorHAnsi"/>
                <w:snapToGrid w:val="0"/>
                <w:lang w:val="en-GB"/>
              </w:rPr>
              <w:t xml:space="preserve"> </w:t>
            </w:r>
            <w:r w:rsidR="00E84081" w:rsidRPr="00AB0C4E">
              <w:rPr>
                <w:rFonts w:cstheme="minorHAnsi"/>
                <w:snapToGrid w:val="0"/>
                <w:lang w:val="en-GB"/>
              </w:rPr>
              <w:t>December</w:t>
            </w:r>
            <w:r w:rsidRPr="00AB0C4E">
              <w:rPr>
                <w:rFonts w:cstheme="minorHAnsi"/>
                <w:snapToGrid w:val="0"/>
                <w:lang w:val="en-GB"/>
              </w:rPr>
              <w:t xml:space="preserve"> 2020. See </w:t>
            </w:r>
            <w:r w:rsidR="00E84081" w:rsidRPr="00AB0C4E">
              <w:rPr>
                <w:rFonts w:cstheme="minorHAnsi"/>
                <w:snapToGrid w:val="0"/>
                <w:lang w:val="en-GB"/>
              </w:rPr>
              <w:t>n</w:t>
            </w:r>
            <w:r w:rsidRPr="00AB0C4E">
              <w:rPr>
                <w:rFonts w:cstheme="minorHAnsi"/>
                <w:snapToGrid w:val="0"/>
                <w:lang w:val="en-GB"/>
              </w:rPr>
              <w:t xml:space="preserve">ote </w:t>
            </w:r>
            <w:r w:rsidR="00B16B53">
              <w:rPr>
                <w:rFonts w:cstheme="minorHAnsi"/>
                <w:snapToGrid w:val="0"/>
                <w:lang w:val="en-GB"/>
              </w:rPr>
              <w:t>X</w:t>
            </w:r>
            <w:r w:rsidRPr="00AB0C4E">
              <w:rPr>
                <w:rFonts w:cstheme="minorHAnsi"/>
                <w:snapToGrid w:val="0"/>
                <w:lang w:val="en-GB"/>
              </w:rPr>
              <w:t>.</w:t>
            </w:r>
          </w:p>
        </w:tc>
      </w:tr>
      <w:tr w:rsidR="000C1E9D" w:rsidRPr="00AB0C4E" w14:paraId="5F896735" w14:textId="77777777" w:rsidTr="001F50DB">
        <w:tc>
          <w:tcPr>
            <w:tcW w:w="1469" w:type="dxa"/>
            <w:shd w:val="clear" w:color="auto" w:fill="FFFFFF" w:themeFill="background1"/>
          </w:tcPr>
          <w:p w14:paraId="041C1A4B" w14:textId="77777777" w:rsidR="000C1E9D" w:rsidRPr="00AB0C4E" w:rsidRDefault="000C1E9D" w:rsidP="001F50DB">
            <w:pPr>
              <w:jc w:val="right"/>
              <w:rPr>
                <w:lang w:val="en-GB"/>
              </w:rPr>
            </w:pPr>
          </w:p>
        </w:tc>
        <w:tc>
          <w:tcPr>
            <w:tcW w:w="12524" w:type="dxa"/>
            <w:shd w:val="clear" w:color="auto" w:fill="FFFFFF" w:themeFill="background1"/>
          </w:tcPr>
          <w:p w14:paraId="45296160" w14:textId="5D1B9867" w:rsidR="000C1E9D" w:rsidRPr="00AB0C4E" w:rsidRDefault="000C1E9D" w:rsidP="001F50DB">
            <w:pPr>
              <w:rPr>
                <w:lang w:val="en-GB"/>
              </w:rPr>
            </w:pPr>
            <w:r w:rsidRPr="00AB0C4E">
              <w:rPr>
                <w:i/>
                <w:iCs/>
                <w:lang w:val="en-GB"/>
              </w:rPr>
              <w:t xml:space="preserve">Analysis: </w:t>
            </w:r>
            <w:r w:rsidR="00213251" w:rsidRPr="00AB0C4E">
              <w:rPr>
                <w:i/>
                <w:iCs/>
                <w:lang w:val="en-GB"/>
              </w:rPr>
              <w:t xml:space="preserve">Z Layout has disclosed terms and conditions relating to the government grants as required by IAS 20.39. In addition to this disclosure, </w:t>
            </w:r>
            <w:r w:rsidR="00D240FB" w:rsidRPr="00AB0C4E">
              <w:rPr>
                <w:i/>
                <w:iCs/>
                <w:lang w:val="en-GB"/>
              </w:rPr>
              <w:t xml:space="preserve">Z Layout made the judgement that </w:t>
            </w:r>
          </w:p>
        </w:tc>
      </w:tr>
    </w:tbl>
    <w:p w14:paraId="71DE13FB" w14:textId="12FBBEA0" w:rsidR="000C1E9D" w:rsidRPr="00AB0C4E" w:rsidRDefault="000C1E9D" w:rsidP="006E22AC">
      <w:pPr>
        <w:rPr>
          <w:lang w:val="en-GB"/>
        </w:rPr>
      </w:pPr>
    </w:p>
    <w:p w14:paraId="5ECCC91B" w14:textId="714BE77F" w:rsidR="00AA53C9" w:rsidRPr="00AB0C4E" w:rsidRDefault="00AA53C9" w:rsidP="006E22AC">
      <w:pPr>
        <w:rPr>
          <w:lang w:val="en-GB"/>
        </w:rPr>
      </w:pPr>
    </w:p>
    <w:p w14:paraId="07FCF969" w14:textId="77777777" w:rsidR="00AA53C9" w:rsidRPr="00AB0C4E" w:rsidRDefault="00AA53C9" w:rsidP="006E22AC">
      <w:pPr>
        <w:rPr>
          <w:lang w:val="en-GB"/>
        </w:rPr>
      </w:pPr>
    </w:p>
    <w:p w14:paraId="543A0D90" w14:textId="6B720802" w:rsidR="000C1E9D" w:rsidRPr="00AB0C4E" w:rsidRDefault="00F43580" w:rsidP="00AA53C9">
      <w:pPr>
        <w:pStyle w:val="2kopBDO"/>
        <w:rPr>
          <w:lang w:val="en-GB"/>
        </w:rPr>
      </w:pPr>
      <w:r w:rsidRPr="00AB0C4E">
        <w:rPr>
          <w:lang w:val="en-GB"/>
        </w:rPr>
        <w:lastRenderedPageBreak/>
        <w:t>B.8 – IMPAIRMENT OF ASSETS</w:t>
      </w:r>
    </w:p>
    <w:p w14:paraId="10AA2400" w14:textId="4346AA51" w:rsidR="00816D07" w:rsidRPr="00AB0C4E" w:rsidRDefault="00816D07" w:rsidP="00816D07">
      <w:pPr>
        <w:rPr>
          <w:lang w:val="en-GB"/>
        </w:rPr>
      </w:pPr>
      <w:r w:rsidRPr="00AB0C4E">
        <w:rPr>
          <w:lang w:val="en-GB"/>
        </w:rPr>
        <w:t>The following three scenarios demonstrate how the disclosures required by IAS 36 vary depending on the facts and circumstances. IAS 36 contains various disclosure requirements, which apply in different situations:</w:t>
      </w:r>
    </w:p>
    <w:p w14:paraId="0900C796" w14:textId="4DF8F930" w:rsidR="00816D07" w:rsidRPr="00AB0C4E" w:rsidRDefault="00816D07" w:rsidP="00816D07">
      <w:pPr>
        <w:pStyle w:val="ListParagraph"/>
        <w:numPr>
          <w:ilvl w:val="0"/>
          <w:numId w:val="39"/>
        </w:numPr>
      </w:pPr>
      <w:r w:rsidRPr="00AB0C4E">
        <w:t xml:space="preserve">IAS 36.126-133: disclosures are only required when impairment is recognised (e.g. indicators of impairment exist for property, plant and equipment and impairment is recorded). If no impairment is recorded, these disclosure requirements do not apply.  </w:t>
      </w:r>
    </w:p>
    <w:p w14:paraId="571F9972" w14:textId="28A5E0D7" w:rsidR="00816D07" w:rsidRPr="00AB0C4E" w:rsidRDefault="00816D07" w:rsidP="00816D07">
      <w:pPr>
        <w:pStyle w:val="ListParagraph"/>
        <w:numPr>
          <w:ilvl w:val="0"/>
          <w:numId w:val="39"/>
        </w:numPr>
      </w:pPr>
      <w:r w:rsidRPr="00AB0C4E">
        <w:t>IAS 36.134-135: disclosures are required whenever the recoverable amount is determined for cash-generating units containing goodwill or intangible assets with indefinite useful lives. As the recoverable amount for these assets must be determined annually at a minimum, this information must always be disclosed if an entity has recognised goodwill or intangible assets with indefinite useful lives</w:t>
      </w:r>
      <w:r w:rsidR="006C6ADC">
        <w:t xml:space="preserve"> in its statement of financial position</w:t>
      </w:r>
      <w:r w:rsidRPr="00AB0C4E">
        <w:t xml:space="preserve">. </w:t>
      </w:r>
    </w:p>
    <w:p w14:paraId="6488EEC4" w14:textId="114EEAD8" w:rsidR="00FD5B8A" w:rsidRDefault="00AB0C4E" w:rsidP="00AB0C4E">
      <w:pPr>
        <w:rPr>
          <w:lang w:val="en-GB"/>
        </w:rPr>
      </w:pPr>
      <w:r w:rsidRPr="00AB0C4E">
        <w:rPr>
          <w:lang w:val="en-GB"/>
        </w:rPr>
        <w:t>The extent of disclosures provided by an entity will depend on whether impairment is recorded, whether goodwill and/or intangible assets with indefinite useful lives are recognised, and regardless of whether impairment is recognised, whether</w:t>
      </w:r>
      <w:r w:rsidR="00E25E40">
        <w:rPr>
          <w:lang w:val="en-GB"/>
        </w:rPr>
        <w:t xml:space="preserve"> judgements and estimates made in performing the impairment test may result in adjustments to the carrying value of assets</w:t>
      </w:r>
      <w:r w:rsidR="006C6ADC">
        <w:rPr>
          <w:lang w:val="en-GB"/>
        </w:rPr>
        <w:t xml:space="preserve"> in the next financial year</w:t>
      </w:r>
      <w:r w:rsidR="00E25E40">
        <w:rPr>
          <w:lang w:val="en-GB"/>
        </w:rPr>
        <w:t>. For example, if an impairment test results in no impairment being recognised, but it is a ‘close call’ (i.e. recoverable amount exceeds carrying amount but by very little, or the recoverable amount is highly sensitive to changes in assumptions), then many (or all) of the disclosures in IAS 36 may not technically apply, however, IAS 1’s requirement to disclose information about significant judgements and estimates may result in significant disclosures regardless.</w:t>
      </w:r>
      <w:r w:rsidR="00FD5B8A">
        <w:rPr>
          <w:lang w:val="en-GB"/>
        </w:rPr>
        <w:t xml:space="preserve"> </w:t>
      </w:r>
    </w:p>
    <w:p w14:paraId="0C0CC21A" w14:textId="734613AF" w:rsidR="00FD5B8A" w:rsidRDefault="00FD5B8A" w:rsidP="00AB0C4E">
      <w:pPr>
        <w:rPr>
          <w:lang w:val="en-GB"/>
        </w:rPr>
      </w:pPr>
      <w:r>
        <w:rPr>
          <w:lang w:val="en-GB"/>
        </w:rPr>
        <w:t>IAS 1.17(c) and 31 also require additional information to be disclosed if doing so is necessary in order to achieve fair presentation and/or compliance with specific requirements in IFRS is insufficient to enable users of financial statements to understand the impact of particular transactions, other events and conditions on the entity’s financial position and financial performance.</w:t>
      </w:r>
      <w:r w:rsidR="00E25E40">
        <w:rPr>
          <w:lang w:val="en-GB"/>
        </w:rPr>
        <w:t xml:space="preserve"> </w:t>
      </w:r>
    </w:p>
    <w:p w14:paraId="3C0F816B" w14:textId="7244F448" w:rsidR="00FD2953" w:rsidRDefault="00E25E40" w:rsidP="00AB0C4E">
      <w:pPr>
        <w:rPr>
          <w:lang w:val="en-GB"/>
        </w:rPr>
      </w:pPr>
      <w:r>
        <w:rPr>
          <w:lang w:val="en-GB"/>
        </w:rPr>
        <w:t>See B.8(c) for an example of this situation</w:t>
      </w:r>
      <w:r w:rsidR="00FD5B8A">
        <w:rPr>
          <w:lang w:val="en-GB"/>
        </w:rPr>
        <w:t xml:space="preserve"> where complying with the requirements of IAS 36 are insufficient based on the judgement of the entity</w:t>
      </w:r>
      <w:r>
        <w:rPr>
          <w:lang w:val="en-GB"/>
        </w:rPr>
        <w:t xml:space="preserve">. </w:t>
      </w:r>
      <w:r w:rsidR="00FD2953">
        <w:rPr>
          <w:lang w:val="en-GB"/>
        </w:rPr>
        <w:br w:type="page"/>
      </w:r>
    </w:p>
    <w:p w14:paraId="5A5C6C8F" w14:textId="790A25A4" w:rsidR="00AB0C4E" w:rsidRPr="00AB0C4E" w:rsidRDefault="00FD2953" w:rsidP="00E34B15">
      <w:pPr>
        <w:pStyle w:val="2kopBDO"/>
        <w:rPr>
          <w:lang w:val="en-GB"/>
        </w:rPr>
      </w:pPr>
      <w:bookmarkStart w:id="12" w:name="B8"/>
      <w:r w:rsidRPr="00AB0C4E">
        <w:rPr>
          <w:lang w:val="en-GB"/>
        </w:rPr>
        <w:lastRenderedPageBreak/>
        <w:t xml:space="preserve">B.8 </w:t>
      </w:r>
      <w:bookmarkEnd w:id="12"/>
      <w:r w:rsidRPr="00AB0C4E">
        <w:rPr>
          <w:lang w:val="en-GB"/>
        </w:rPr>
        <w:t>– IMPAIRMENT OF ASSETS</w:t>
      </w:r>
      <w:r>
        <w:rPr>
          <w:lang w:val="en-GB"/>
        </w:rPr>
        <w:t xml:space="preserve"> (continued)</w:t>
      </w:r>
    </w:p>
    <w:tbl>
      <w:tblPr>
        <w:tblStyle w:val="TableGrid"/>
        <w:tblW w:w="13993" w:type="dxa"/>
        <w:tblLook w:val="04A0" w:firstRow="1" w:lastRow="0" w:firstColumn="1" w:lastColumn="0" w:noHBand="0" w:noVBand="1"/>
      </w:tblPr>
      <w:tblGrid>
        <w:gridCol w:w="1469"/>
        <w:gridCol w:w="12524"/>
      </w:tblGrid>
      <w:tr w:rsidR="000C1E9D" w:rsidRPr="00AB0C4E" w14:paraId="7A300073" w14:textId="77777777" w:rsidTr="001F50DB">
        <w:tc>
          <w:tcPr>
            <w:tcW w:w="13993" w:type="dxa"/>
            <w:gridSpan w:val="2"/>
            <w:shd w:val="clear" w:color="auto" w:fill="218F8B" w:themeFill="background2"/>
          </w:tcPr>
          <w:p w14:paraId="1BBB7989" w14:textId="6B18D6D3" w:rsidR="000C1E9D" w:rsidRPr="00AB0C4E" w:rsidRDefault="000C1E9D" w:rsidP="001F50DB">
            <w:pPr>
              <w:rPr>
                <w:color w:val="FFFFFF" w:themeColor="background1"/>
                <w:lang w:val="en-GB"/>
              </w:rPr>
            </w:pPr>
            <w:r w:rsidRPr="00AB0C4E">
              <w:rPr>
                <w:color w:val="FFFFFF" w:themeColor="background1"/>
                <w:lang w:val="en-GB"/>
              </w:rPr>
              <w:t>B.</w:t>
            </w:r>
            <w:r w:rsidR="003C7148" w:rsidRPr="00AB0C4E">
              <w:rPr>
                <w:color w:val="FFFFFF" w:themeColor="background1"/>
                <w:lang w:val="en-GB"/>
              </w:rPr>
              <w:t>8</w:t>
            </w:r>
            <w:r w:rsidRPr="00AB0C4E">
              <w:rPr>
                <w:color w:val="FFFFFF" w:themeColor="background1"/>
                <w:lang w:val="en-GB"/>
              </w:rPr>
              <w:t>(</w:t>
            </w:r>
            <w:r w:rsidR="003C7148" w:rsidRPr="00AB0C4E">
              <w:rPr>
                <w:color w:val="FFFFFF" w:themeColor="background1"/>
                <w:lang w:val="en-GB"/>
              </w:rPr>
              <w:t>a</w:t>
            </w:r>
            <w:r w:rsidRPr="00AB0C4E">
              <w:rPr>
                <w:color w:val="FFFFFF" w:themeColor="background1"/>
                <w:lang w:val="en-GB"/>
              </w:rPr>
              <w:t xml:space="preserve">) – </w:t>
            </w:r>
            <w:r w:rsidR="003C7148" w:rsidRPr="00AB0C4E">
              <w:rPr>
                <w:color w:val="FFFFFF" w:themeColor="background1"/>
                <w:lang w:val="en-GB"/>
              </w:rPr>
              <w:t xml:space="preserve">impairment of assets is recorded, including goodwill </w:t>
            </w:r>
          </w:p>
          <w:p w14:paraId="023234F8" w14:textId="77777777" w:rsidR="000C1E9D" w:rsidRPr="00AB0C4E" w:rsidRDefault="000C1E9D" w:rsidP="001F50DB">
            <w:pPr>
              <w:rPr>
                <w:color w:val="FFFFFF" w:themeColor="background1"/>
                <w:lang w:val="en-GB"/>
              </w:rPr>
            </w:pPr>
          </w:p>
          <w:p w14:paraId="5B26CA69" w14:textId="626E26B2" w:rsidR="000C1E9D" w:rsidRPr="00AB0C4E" w:rsidRDefault="000C1E9D" w:rsidP="001F50DB">
            <w:pPr>
              <w:rPr>
                <w:color w:val="FFFFFF" w:themeColor="background1"/>
                <w:lang w:val="en-GB"/>
              </w:rPr>
            </w:pPr>
            <w:r w:rsidRPr="00AB0C4E">
              <w:rPr>
                <w:color w:val="FFFFFF" w:themeColor="background1"/>
                <w:lang w:val="en-GB"/>
              </w:rPr>
              <w:t>Additional information:</w:t>
            </w:r>
            <w:r w:rsidR="006664D4" w:rsidRPr="00AB0C4E">
              <w:rPr>
                <w:color w:val="FFFFFF" w:themeColor="background1"/>
                <w:lang w:val="en-GB"/>
              </w:rPr>
              <w:t xml:space="preserve"> the effects of COVID-19 have resulted in decreased sales, which management of Z Layout has identified as an indicator of impairment for its property, plant and equipment, right-of-use assets, goodwill and intangible assets. The impairment test results in the recoverable amount of some cash-generating units being lower than the</w:t>
            </w:r>
            <w:r w:rsidR="006C6ADC">
              <w:rPr>
                <w:color w:val="FFFFFF" w:themeColor="background1"/>
                <w:lang w:val="en-GB"/>
              </w:rPr>
              <w:t>ir</w:t>
            </w:r>
            <w:r w:rsidR="006664D4" w:rsidRPr="00AB0C4E">
              <w:rPr>
                <w:color w:val="FFFFFF" w:themeColor="background1"/>
                <w:lang w:val="en-GB"/>
              </w:rPr>
              <w:t xml:space="preserve"> carrying </w:t>
            </w:r>
            <w:r w:rsidR="006C6ADC">
              <w:rPr>
                <w:color w:val="FFFFFF" w:themeColor="background1"/>
                <w:lang w:val="en-GB"/>
              </w:rPr>
              <w:t>amount</w:t>
            </w:r>
            <w:r w:rsidR="006664D4" w:rsidRPr="00AB0C4E">
              <w:rPr>
                <w:color w:val="FFFFFF" w:themeColor="background1"/>
                <w:lang w:val="en-GB"/>
              </w:rPr>
              <w:t>, resulting in the impairment of some assets</w:t>
            </w:r>
            <w:r w:rsidR="003B1706" w:rsidRPr="00AB0C4E">
              <w:rPr>
                <w:color w:val="FFFFFF" w:themeColor="background1"/>
                <w:lang w:val="en-GB"/>
              </w:rPr>
              <w:t xml:space="preserve"> in the </w:t>
            </w:r>
            <w:proofErr w:type="spellStart"/>
            <w:r w:rsidR="003B1706" w:rsidRPr="00AB0C4E">
              <w:rPr>
                <w:color w:val="FFFFFF" w:themeColor="background1"/>
                <w:lang w:val="en-GB"/>
              </w:rPr>
              <w:t>GTSE</w:t>
            </w:r>
            <w:proofErr w:type="spellEnd"/>
            <w:r w:rsidR="003B1706" w:rsidRPr="00AB0C4E">
              <w:rPr>
                <w:color w:val="FFFFFF" w:themeColor="background1"/>
                <w:lang w:val="en-GB"/>
              </w:rPr>
              <w:t xml:space="preserve"> group of cash-generating units</w:t>
            </w:r>
            <w:r w:rsidR="006664D4" w:rsidRPr="00AB0C4E">
              <w:rPr>
                <w:color w:val="FFFFFF" w:themeColor="background1"/>
                <w:lang w:val="en-GB"/>
              </w:rPr>
              <w:t xml:space="preserve">, including goodwill. </w:t>
            </w:r>
            <w:r w:rsidR="00273EE3" w:rsidRPr="00AB0C4E">
              <w:rPr>
                <w:color w:val="FFFFFF" w:themeColor="background1"/>
                <w:lang w:val="en-GB"/>
              </w:rPr>
              <w:t xml:space="preserve">The groups of cash-generating units that are impaired were acquired in a business combination in 2018, and include goodwill arising from that business combination. </w:t>
            </w:r>
          </w:p>
        </w:tc>
      </w:tr>
      <w:tr w:rsidR="000C1E9D" w:rsidRPr="00AB0C4E" w14:paraId="1AB4169D" w14:textId="77777777" w:rsidTr="001F50DB">
        <w:tc>
          <w:tcPr>
            <w:tcW w:w="1469" w:type="dxa"/>
            <w:shd w:val="clear" w:color="auto" w:fill="657C91" w:themeFill="accent4"/>
          </w:tcPr>
          <w:p w14:paraId="1E8E389C" w14:textId="77777777" w:rsidR="000C1E9D" w:rsidRPr="00AB0C4E" w:rsidRDefault="000C1E9D" w:rsidP="001F50DB">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511E83D3" w14:textId="77777777" w:rsidR="000C1E9D" w:rsidRPr="00AB0C4E" w:rsidRDefault="000C1E9D" w:rsidP="001F50DB">
            <w:pPr>
              <w:rPr>
                <w:color w:val="FFFFFF" w:themeColor="background1"/>
                <w:lang w:val="en-GB"/>
              </w:rPr>
            </w:pPr>
            <w:r w:rsidRPr="00AB0C4E">
              <w:rPr>
                <w:color w:val="FFFFFF" w:themeColor="background1"/>
                <w:lang w:val="en-GB"/>
              </w:rPr>
              <w:t xml:space="preserve">Illustrative disclosure </w:t>
            </w:r>
          </w:p>
        </w:tc>
      </w:tr>
      <w:tr w:rsidR="000C1E9D" w:rsidRPr="00AB0C4E" w14:paraId="6DF7BC52" w14:textId="77777777" w:rsidTr="001F50DB">
        <w:tc>
          <w:tcPr>
            <w:tcW w:w="1469" w:type="dxa"/>
            <w:shd w:val="clear" w:color="auto" w:fill="FFFFFF" w:themeFill="background1"/>
          </w:tcPr>
          <w:p w14:paraId="0C9ADF27" w14:textId="67EEA5CD" w:rsidR="000C1E9D" w:rsidRPr="00AB0C4E" w:rsidRDefault="006C616C" w:rsidP="001F50DB">
            <w:pPr>
              <w:jc w:val="right"/>
              <w:rPr>
                <w:sz w:val="18"/>
                <w:szCs w:val="18"/>
                <w:lang w:val="en-GB"/>
              </w:rPr>
            </w:pPr>
            <w:r w:rsidRPr="00AB0C4E">
              <w:rPr>
                <w:sz w:val="18"/>
                <w:szCs w:val="18"/>
                <w:lang w:val="en-GB"/>
              </w:rPr>
              <w:t>IAS 36.130(a)</w:t>
            </w:r>
          </w:p>
          <w:p w14:paraId="495B8735" w14:textId="575EDF02" w:rsidR="006C616C" w:rsidRPr="00AB0C4E" w:rsidRDefault="006C616C" w:rsidP="001F50DB">
            <w:pPr>
              <w:jc w:val="right"/>
              <w:rPr>
                <w:sz w:val="18"/>
                <w:szCs w:val="18"/>
                <w:lang w:val="en-GB"/>
              </w:rPr>
            </w:pPr>
          </w:p>
          <w:p w14:paraId="6D9E3900" w14:textId="69FD96B4" w:rsidR="006C616C" w:rsidRPr="00AB0C4E" w:rsidRDefault="006C616C" w:rsidP="001F50DB">
            <w:pPr>
              <w:jc w:val="right"/>
              <w:rPr>
                <w:sz w:val="18"/>
                <w:szCs w:val="18"/>
                <w:lang w:val="en-GB"/>
              </w:rPr>
            </w:pPr>
          </w:p>
          <w:p w14:paraId="408B7233" w14:textId="40A8DD34" w:rsidR="006C616C" w:rsidRPr="00AB0C4E" w:rsidRDefault="006C616C" w:rsidP="001F50DB">
            <w:pPr>
              <w:jc w:val="right"/>
              <w:rPr>
                <w:sz w:val="18"/>
                <w:szCs w:val="18"/>
                <w:lang w:val="en-GB"/>
              </w:rPr>
            </w:pPr>
          </w:p>
          <w:p w14:paraId="293AE317" w14:textId="5326C2F8" w:rsidR="006C616C" w:rsidRPr="00AB0C4E" w:rsidRDefault="006C616C" w:rsidP="001F50DB">
            <w:pPr>
              <w:jc w:val="right"/>
              <w:rPr>
                <w:sz w:val="18"/>
                <w:szCs w:val="18"/>
                <w:lang w:val="en-GB"/>
              </w:rPr>
            </w:pPr>
          </w:p>
          <w:p w14:paraId="1112873A" w14:textId="0EDA7B77" w:rsidR="006C616C" w:rsidRPr="00AB0C4E" w:rsidRDefault="006C616C" w:rsidP="001F50DB">
            <w:pPr>
              <w:jc w:val="right"/>
              <w:rPr>
                <w:sz w:val="18"/>
                <w:szCs w:val="18"/>
                <w:lang w:val="en-GB"/>
              </w:rPr>
            </w:pPr>
          </w:p>
          <w:p w14:paraId="1450C942" w14:textId="77777777" w:rsidR="00883AE4" w:rsidRPr="00AB0C4E" w:rsidRDefault="00883AE4" w:rsidP="001F50DB">
            <w:pPr>
              <w:jc w:val="right"/>
              <w:rPr>
                <w:sz w:val="18"/>
                <w:szCs w:val="18"/>
                <w:lang w:val="en-GB"/>
              </w:rPr>
            </w:pPr>
          </w:p>
          <w:p w14:paraId="6EBF2AF7" w14:textId="3CAEADDD" w:rsidR="006C616C" w:rsidRPr="00AB0C4E" w:rsidRDefault="006C616C" w:rsidP="001F50DB">
            <w:pPr>
              <w:jc w:val="right"/>
              <w:rPr>
                <w:sz w:val="18"/>
                <w:szCs w:val="18"/>
                <w:lang w:val="en-GB"/>
              </w:rPr>
            </w:pPr>
            <w:r w:rsidRPr="00AB0C4E">
              <w:rPr>
                <w:sz w:val="18"/>
                <w:szCs w:val="18"/>
                <w:lang w:val="en-GB"/>
              </w:rPr>
              <w:t>IAS 36.130(d)</w:t>
            </w:r>
          </w:p>
          <w:p w14:paraId="4F80B8F3" w14:textId="77777777" w:rsidR="006261DD" w:rsidRPr="00AB0C4E" w:rsidRDefault="006261DD" w:rsidP="001F50DB">
            <w:pPr>
              <w:jc w:val="right"/>
              <w:rPr>
                <w:sz w:val="18"/>
                <w:szCs w:val="18"/>
                <w:lang w:val="en-GB"/>
              </w:rPr>
            </w:pPr>
          </w:p>
          <w:p w14:paraId="06C3EA69" w14:textId="77777777" w:rsidR="006261DD" w:rsidRPr="00AB0C4E" w:rsidRDefault="006261DD" w:rsidP="001F50DB">
            <w:pPr>
              <w:jc w:val="right"/>
              <w:rPr>
                <w:sz w:val="18"/>
                <w:szCs w:val="18"/>
                <w:lang w:val="en-GB"/>
              </w:rPr>
            </w:pPr>
          </w:p>
          <w:p w14:paraId="394DB27E" w14:textId="77777777" w:rsidR="006261DD" w:rsidRPr="00AB0C4E" w:rsidRDefault="006261DD" w:rsidP="001F50DB">
            <w:pPr>
              <w:jc w:val="right"/>
              <w:rPr>
                <w:sz w:val="18"/>
                <w:szCs w:val="18"/>
                <w:lang w:val="en-GB"/>
              </w:rPr>
            </w:pPr>
          </w:p>
          <w:p w14:paraId="50B60DCA" w14:textId="77777777" w:rsidR="006261DD" w:rsidRPr="00AB0C4E" w:rsidRDefault="006261DD" w:rsidP="001F50DB">
            <w:pPr>
              <w:jc w:val="right"/>
              <w:rPr>
                <w:sz w:val="18"/>
                <w:szCs w:val="18"/>
                <w:lang w:val="en-GB"/>
              </w:rPr>
            </w:pPr>
          </w:p>
          <w:p w14:paraId="59A956F7" w14:textId="77777777" w:rsidR="006261DD" w:rsidRPr="00AB0C4E" w:rsidRDefault="006261DD" w:rsidP="001F50DB">
            <w:pPr>
              <w:jc w:val="right"/>
              <w:rPr>
                <w:sz w:val="18"/>
                <w:szCs w:val="18"/>
                <w:lang w:val="en-GB"/>
              </w:rPr>
            </w:pPr>
          </w:p>
          <w:p w14:paraId="784F7865" w14:textId="77777777" w:rsidR="006261DD" w:rsidRPr="00AB0C4E" w:rsidRDefault="006261DD" w:rsidP="001F50DB">
            <w:pPr>
              <w:jc w:val="right"/>
              <w:rPr>
                <w:sz w:val="18"/>
                <w:szCs w:val="18"/>
                <w:lang w:val="en-GB"/>
              </w:rPr>
            </w:pPr>
          </w:p>
          <w:p w14:paraId="5FABF07A" w14:textId="77777777" w:rsidR="00883AE4" w:rsidRPr="00AB0C4E" w:rsidRDefault="00883AE4" w:rsidP="001F50DB">
            <w:pPr>
              <w:jc w:val="right"/>
              <w:rPr>
                <w:sz w:val="18"/>
                <w:szCs w:val="18"/>
                <w:lang w:val="en-GB"/>
              </w:rPr>
            </w:pPr>
          </w:p>
          <w:p w14:paraId="4CE66420" w14:textId="7A45B7DF" w:rsidR="006261DD" w:rsidRPr="00AB0C4E" w:rsidRDefault="00883AE4" w:rsidP="001F50DB">
            <w:pPr>
              <w:jc w:val="right"/>
              <w:rPr>
                <w:sz w:val="18"/>
                <w:szCs w:val="18"/>
                <w:lang w:val="en-GB"/>
              </w:rPr>
            </w:pPr>
            <w:r w:rsidRPr="00AB0C4E">
              <w:rPr>
                <w:sz w:val="18"/>
                <w:szCs w:val="18"/>
                <w:lang w:val="en-GB"/>
              </w:rPr>
              <w:t>IAS 36.134(c)</w:t>
            </w:r>
          </w:p>
          <w:p w14:paraId="24EBEE53" w14:textId="77777777" w:rsidR="006261DD" w:rsidRPr="00AB0C4E" w:rsidRDefault="006261DD" w:rsidP="001F50DB">
            <w:pPr>
              <w:jc w:val="right"/>
              <w:rPr>
                <w:sz w:val="18"/>
                <w:szCs w:val="18"/>
                <w:lang w:val="en-GB"/>
              </w:rPr>
            </w:pPr>
          </w:p>
          <w:p w14:paraId="707FF836" w14:textId="77777777" w:rsidR="006261DD" w:rsidRPr="00AB0C4E" w:rsidRDefault="006261DD" w:rsidP="001F50DB">
            <w:pPr>
              <w:jc w:val="right"/>
              <w:rPr>
                <w:sz w:val="18"/>
                <w:szCs w:val="18"/>
                <w:lang w:val="en-GB"/>
              </w:rPr>
            </w:pPr>
          </w:p>
          <w:p w14:paraId="69C8BD59" w14:textId="77777777" w:rsidR="006261DD" w:rsidRPr="00AB0C4E" w:rsidRDefault="006261DD" w:rsidP="001F50DB">
            <w:pPr>
              <w:jc w:val="right"/>
              <w:rPr>
                <w:sz w:val="18"/>
                <w:szCs w:val="18"/>
                <w:lang w:val="en-GB"/>
              </w:rPr>
            </w:pPr>
          </w:p>
          <w:p w14:paraId="1DA829F7" w14:textId="7329C8AB" w:rsidR="006261DD" w:rsidRPr="00AB0C4E" w:rsidRDefault="006C616C" w:rsidP="001F50DB">
            <w:pPr>
              <w:jc w:val="right"/>
              <w:rPr>
                <w:sz w:val="18"/>
                <w:szCs w:val="18"/>
                <w:lang w:val="en-GB"/>
              </w:rPr>
            </w:pPr>
            <w:r w:rsidRPr="00AB0C4E">
              <w:rPr>
                <w:sz w:val="18"/>
                <w:szCs w:val="18"/>
                <w:lang w:val="en-GB"/>
              </w:rPr>
              <w:t>IAS 36.132</w:t>
            </w:r>
          </w:p>
          <w:p w14:paraId="250445ED" w14:textId="1681E7FD" w:rsidR="006C616C" w:rsidRPr="00AB0C4E" w:rsidRDefault="00664AB4" w:rsidP="001F50DB">
            <w:pPr>
              <w:jc w:val="right"/>
              <w:rPr>
                <w:sz w:val="18"/>
                <w:szCs w:val="18"/>
                <w:lang w:val="en-GB"/>
              </w:rPr>
            </w:pPr>
            <w:r w:rsidRPr="00AB0C4E">
              <w:rPr>
                <w:sz w:val="18"/>
                <w:szCs w:val="18"/>
                <w:lang w:val="en-GB"/>
              </w:rPr>
              <w:t xml:space="preserve"> </w:t>
            </w:r>
            <w:r w:rsidR="00883AE4" w:rsidRPr="00AB0C4E">
              <w:rPr>
                <w:sz w:val="18"/>
                <w:szCs w:val="18"/>
                <w:lang w:val="en-GB"/>
              </w:rPr>
              <w:t>IAS 36.134(d)</w:t>
            </w:r>
            <w:r w:rsidRPr="00AB0C4E">
              <w:rPr>
                <w:sz w:val="18"/>
                <w:szCs w:val="18"/>
                <w:lang w:val="en-GB"/>
              </w:rPr>
              <w:t xml:space="preserve"> </w:t>
            </w:r>
            <w:r w:rsidR="00883AE4" w:rsidRPr="00AB0C4E">
              <w:rPr>
                <w:sz w:val="18"/>
                <w:szCs w:val="18"/>
                <w:lang w:val="en-GB"/>
              </w:rPr>
              <w:t>(</w:t>
            </w:r>
            <w:proofErr w:type="spellStart"/>
            <w:r w:rsidR="00883AE4" w:rsidRPr="00AB0C4E">
              <w:rPr>
                <w:sz w:val="18"/>
                <w:szCs w:val="18"/>
                <w:lang w:val="en-GB"/>
              </w:rPr>
              <w:t>i</w:t>
            </w:r>
            <w:proofErr w:type="spellEnd"/>
            <w:r w:rsidR="00883AE4" w:rsidRPr="00AB0C4E">
              <w:rPr>
                <w:sz w:val="18"/>
                <w:szCs w:val="18"/>
                <w:lang w:val="en-GB"/>
              </w:rPr>
              <w:t>), (ii),(iii),(iv)</w:t>
            </w:r>
          </w:p>
          <w:p w14:paraId="6835F9E6" w14:textId="77777777" w:rsidR="006261DD" w:rsidRPr="00AB0C4E" w:rsidRDefault="006261DD" w:rsidP="001F50DB">
            <w:pPr>
              <w:jc w:val="right"/>
              <w:rPr>
                <w:sz w:val="18"/>
                <w:szCs w:val="18"/>
                <w:lang w:val="en-GB"/>
              </w:rPr>
            </w:pPr>
          </w:p>
          <w:p w14:paraId="78F723C4" w14:textId="77777777" w:rsidR="006261DD" w:rsidRPr="00AB0C4E" w:rsidRDefault="006261DD" w:rsidP="001F50DB">
            <w:pPr>
              <w:jc w:val="right"/>
              <w:rPr>
                <w:sz w:val="18"/>
                <w:szCs w:val="18"/>
                <w:lang w:val="en-GB"/>
              </w:rPr>
            </w:pPr>
          </w:p>
          <w:p w14:paraId="4F7C6587" w14:textId="77777777" w:rsidR="006261DD" w:rsidRPr="00AB0C4E" w:rsidRDefault="006261DD" w:rsidP="001F50DB">
            <w:pPr>
              <w:jc w:val="right"/>
              <w:rPr>
                <w:sz w:val="18"/>
                <w:szCs w:val="18"/>
                <w:lang w:val="en-GB"/>
              </w:rPr>
            </w:pPr>
          </w:p>
          <w:p w14:paraId="7A615585" w14:textId="77777777" w:rsidR="006261DD" w:rsidRPr="00AB0C4E" w:rsidRDefault="006261DD" w:rsidP="001F50DB">
            <w:pPr>
              <w:jc w:val="right"/>
              <w:rPr>
                <w:sz w:val="18"/>
                <w:szCs w:val="18"/>
                <w:lang w:val="en-GB"/>
              </w:rPr>
            </w:pPr>
          </w:p>
          <w:p w14:paraId="348CCA9A" w14:textId="77777777" w:rsidR="006261DD" w:rsidRPr="00AB0C4E" w:rsidRDefault="006261DD" w:rsidP="001F50DB">
            <w:pPr>
              <w:jc w:val="right"/>
              <w:rPr>
                <w:sz w:val="18"/>
                <w:szCs w:val="18"/>
                <w:lang w:val="en-GB"/>
              </w:rPr>
            </w:pPr>
          </w:p>
          <w:p w14:paraId="3477AD30" w14:textId="77777777" w:rsidR="006261DD" w:rsidRPr="00AB0C4E" w:rsidRDefault="006261DD" w:rsidP="001F50DB">
            <w:pPr>
              <w:jc w:val="right"/>
              <w:rPr>
                <w:sz w:val="18"/>
                <w:szCs w:val="18"/>
                <w:lang w:val="en-GB"/>
              </w:rPr>
            </w:pPr>
          </w:p>
          <w:p w14:paraId="0B5801F8" w14:textId="77777777" w:rsidR="006261DD" w:rsidRPr="00AB0C4E" w:rsidRDefault="006261DD" w:rsidP="001F50DB">
            <w:pPr>
              <w:jc w:val="right"/>
              <w:rPr>
                <w:sz w:val="18"/>
                <w:szCs w:val="18"/>
                <w:lang w:val="en-GB"/>
              </w:rPr>
            </w:pPr>
          </w:p>
          <w:p w14:paraId="017F54C0" w14:textId="77777777" w:rsidR="006261DD" w:rsidRPr="00AB0C4E" w:rsidRDefault="006261DD" w:rsidP="001F50DB">
            <w:pPr>
              <w:jc w:val="right"/>
              <w:rPr>
                <w:sz w:val="18"/>
                <w:szCs w:val="18"/>
                <w:lang w:val="en-GB"/>
              </w:rPr>
            </w:pPr>
          </w:p>
          <w:p w14:paraId="7CDF974E" w14:textId="77777777" w:rsidR="006261DD" w:rsidRPr="00AB0C4E" w:rsidRDefault="006261DD" w:rsidP="001F50DB">
            <w:pPr>
              <w:jc w:val="right"/>
              <w:rPr>
                <w:sz w:val="18"/>
                <w:szCs w:val="18"/>
                <w:lang w:val="en-GB"/>
              </w:rPr>
            </w:pPr>
          </w:p>
          <w:p w14:paraId="66123A07" w14:textId="77777777" w:rsidR="006261DD" w:rsidRPr="00AB0C4E" w:rsidRDefault="006261DD" w:rsidP="001F50DB">
            <w:pPr>
              <w:jc w:val="right"/>
              <w:rPr>
                <w:sz w:val="18"/>
                <w:szCs w:val="18"/>
                <w:lang w:val="en-GB"/>
              </w:rPr>
            </w:pPr>
          </w:p>
          <w:p w14:paraId="2AE5CE8C" w14:textId="51F102E2" w:rsidR="006261DD" w:rsidRDefault="006261DD" w:rsidP="00883AE4">
            <w:pPr>
              <w:rPr>
                <w:sz w:val="18"/>
                <w:szCs w:val="18"/>
                <w:lang w:val="en-GB"/>
              </w:rPr>
            </w:pPr>
          </w:p>
          <w:p w14:paraId="26088533" w14:textId="77777777" w:rsidR="007B74D9" w:rsidRDefault="007B74D9" w:rsidP="00883AE4">
            <w:pPr>
              <w:rPr>
                <w:sz w:val="18"/>
                <w:szCs w:val="18"/>
                <w:lang w:val="en-GB"/>
              </w:rPr>
            </w:pPr>
          </w:p>
          <w:p w14:paraId="378CAFAB" w14:textId="77777777" w:rsidR="007B74D9" w:rsidRPr="00AB0C4E" w:rsidRDefault="007B74D9" w:rsidP="00883AE4">
            <w:pPr>
              <w:rPr>
                <w:sz w:val="18"/>
                <w:szCs w:val="18"/>
                <w:lang w:val="en-GB"/>
              </w:rPr>
            </w:pPr>
          </w:p>
          <w:p w14:paraId="3EB09F0A" w14:textId="77777777" w:rsidR="00883AE4" w:rsidRPr="00AB0C4E" w:rsidRDefault="00883AE4" w:rsidP="00883AE4">
            <w:pPr>
              <w:rPr>
                <w:sz w:val="18"/>
                <w:szCs w:val="18"/>
                <w:lang w:val="en-GB"/>
              </w:rPr>
            </w:pPr>
          </w:p>
          <w:p w14:paraId="367A9414" w14:textId="77777777" w:rsidR="00883AE4" w:rsidRPr="00AB0C4E" w:rsidRDefault="00883AE4" w:rsidP="001F50DB">
            <w:pPr>
              <w:jc w:val="right"/>
              <w:rPr>
                <w:sz w:val="18"/>
                <w:szCs w:val="18"/>
                <w:lang w:val="en-GB"/>
              </w:rPr>
            </w:pPr>
          </w:p>
          <w:p w14:paraId="07F39941" w14:textId="77777777" w:rsidR="009E5DDF" w:rsidRDefault="009E5DDF" w:rsidP="001F50DB">
            <w:pPr>
              <w:jc w:val="right"/>
              <w:rPr>
                <w:sz w:val="18"/>
                <w:szCs w:val="18"/>
                <w:lang w:val="en-GB"/>
              </w:rPr>
            </w:pPr>
          </w:p>
          <w:p w14:paraId="0143F6AF" w14:textId="4F8DA4AE" w:rsidR="006261DD" w:rsidRPr="00AB0C4E" w:rsidRDefault="006C616C" w:rsidP="001F50DB">
            <w:pPr>
              <w:jc w:val="right"/>
              <w:rPr>
                <w:sz w:val="18"/>
                <w:szCs w:val="18"/>
                <w:lang w:val="en-GB"/>
              </w:rPr>
            </w:pPr>
            <w:r w:rsidRPr="00AB0C4E">
              <w:rPr>
                <w:sz w:val="18"/>
                <w:szCs w:val="18"/>
                <w:lang w:val="en-GB"/>
              </w:rPr>
              <w:t>IAS 36.130(g)</w:t>
            </w:r>
          </w:p>
          <w:p w14:paraId="505E96D6" w14:textId="4CB72BD1" w:rsidR="00883AE4" w:rsidRDefault="00883AE4" w:rsidP="001F50DB">
            <w:pPr>
              <w:jc w:val="right"/>
              <w:rPr>
                <w:sz w:val="18"/>
                <w:szCs w:val="18"/>
                <w:lang w:val="en-GB"/>
              </w:rPr>
            </w:pPr>
            <w:r w:rsidRPr="00AB0C4E">
              <w:rPr>
                <w:sz w:val="18"/>
                <w:szCs w:val="18"/>
                <w:lang w:val="en-GB"/>
              </w:rPr>
              <w:t>IAS 36.134(d) (v)</w:t>
            </w:r>
          </w:p>
          <w:p w14:paraId="2A18D0D6" w14:textId="1176E717" w:rsidR="00E3449F" w:rsidRDefault="00E3449F" w:rsidP="001F50DB">
            <w:pPr>
              <w:jc w:val="right"/>
              <w:rPr>
                <w:sz w:val="18"/>
                <w:szCs w:val="18"/>
                <w:lang w:val="en-GB"/>
              </w:rPr>
            </w:pPr>
          </w:p>
          <w:p w14:paraId="198C1927" w14:textId="3BA54077" w:rsidR="00E3449F" w:rsidRDefault="00E3449F" w:rsidP="001F50DB">
            <w:pPr>
              <w:jc w:val="right"/>
              <w:rPr>
                <w:sz w:val="18"/>
                <w:szCs w:val="18"/>
                <w:lang w:val="en-GB"/>
              </w:rPr>
            </w:pPr>
          </w:p>
          <w:p w14:paraId="5BE2B69D" w14:textId="7A773427" w:rsidR="006261DD" w:rsidRPr="00AB0C4E" w:rsidRDefault="00E3449F" w:rsidP="00E3449F">
            <w:pPr>
              <w:jc w:val="right"/>
              <w:rPr>
                <w:sz w:val="18"/>
                <w:szCs w:val="18"/>
                <w:lang w:val="en-GB"/>
              </w:rPr>
            </w:pPr>
            <w:r>
              <w:rPr>
                <w:sz w:val="18"/>
                <w:szCs w:val="18"/>
                <w:lang w:val="en-GB"/>
              </w:rPr>
              <w:t>IAS 36.81, 88</w:t>
            </w:r>
          </w:p>
          <w:p w14:paraId="30E0FC8F" w14:textId="77777777" w:rsidR="006261DD" w:rsidRPr="00AB0C4E" w:rsidRDefault="006261DD" w:rsidP="001F50DB">
            <w:pPr>
              <w:jc w:val="right"/>
              <w:rPr>
                <w:sz w:val="18"/>
                <w:szCs w:val="18"/>
                <w:lang w:val="en-GB"/>
              </w:rPr>
            </w:pPr>
          </w:p>
          <w:p w14:paraId="0C0E7BBB" w14:textId="77777777" w:rsidR="006261DD" w:rsidRPr="00AB0C4E" w:rsidRDefault="006261DD" w:rsidP="001F50DB">
            <w:pPr>
              <w:jc w:val="right"/>
              <w:rPr>
                <w:sz w:val="18"/>
                <w:szCs w:val="18"/>
                <w:lang w:val="en-GB"/>
              </w:rPr>
            </w:pPr>
          </w:p>
          <w:p w14:paraId="54061367" w14:textId="77777777" w:rsidR="006261DD" w:rsidRPr="00AB0C4E" w:rsidRDefault="006261DD" w:rsidP="00E34B15">
            <w:pPr>
              <w:rPr>
                <w:sz w:val="18"/>
                <w:szCs w:val="18"/>
                <w:lang w:val="en-GB"/>
              </w:rPr>
            </w:pPr>
          </w:p>
          <w:p w14:paraId="4A66757B" w14:textId="77777777" w:rsidR="006261DD" w:rsidRPr="00AB0C4E" w:rsidRDefault="006261DD" w:rsidP="001F50DB">
            <w:pPr>
              <w:jc w:val="right"/>
              <w:rPr>
                <w:sz w:val="18"/>
                <w:szCs w:val="18"/>
                <w:lang w:val="en-GB"/>
              </w:rPr>
            </w:pPr>
          </w:p>
          <w:p w14:paraId="7739E63B" w14:textId="77777777" w:rsidR="006261DD" w:rsidRPr="00AB0C4E" w:rsidRDefault="006261DD" w:rsidP="001F50DB">
            <w:pPr>
              <w:jc w:val="right"/>
              <w:rPr>
                <w:sz w:val="18"/>
                <w:szCs w:val="18"/>
                <w:lang w:val="en-GB"/>
              </w:rPr>
            </w:pPr>
          </w:p>
          <w:p w14:paraId="262AC56A" w14:textId="77777777" w:rsidR="006261DD" w:rsidRPr="00AB0C4E" w:rsidRDefault="006261DD" w:rsidP="001F50DB">
            <w:pPr>
              <w:jc w:val="right"/>
              <w:rPr>
                <w:sz w:val="18"/>
                <w:szCs w:val="18"/>
                <w:lang w:val="en-GB"/>
              </w:rPr>
            </w:pPr>
          </w:p>
          <w:p w14:paraId="3A5F0736" w14:textId="77777777" w:rsidR="006261DD" w:rsidRPr="00AB0C4E" w:rsidRDefault="006261DD" w:rsidP="001F50DB">
            <w:pPr>
              <w:jc w:val="right"/>
              <w:rPr>
                <w:sz w:val="18"/>
                <w:szCs w:val="18"/>
                <w:lang w:val="en-GB"/>
              </w:rPr>
            </w:pPr>
          </w:p>
          <w:p w14:paraId="430DE8C3" w14:textId="77777777" w:rsidR="006261DD" w:rsidRPr="00AB0C4E" w:rsidRDefault="006261DD" w:rsidP="001F50DB">
            <w:pPr>
              <w:jc w:val="right"/>
              <w:rPr>
                <w:sz w:val="18"/>
                <w:szCs w:val="18"/>
                <w:lang w:val="en-GB"/>
              </w:rPr>
            </w:pPr>
          </w:p>
          <w:p w14:paraId="3B17CDD5" w14:textId="77777777" w:rsidR="006261DD" w:rsidRPr="00AB0C4E" w:rsidRDefault="006261DD" w:rsidP="001F50DB">
            <w:pPr>
              <w:jc w:val="right"/>
              <w:rPr>
                <w:sz w:val="18"/>
                <w:szCs w:val="18"/>
                <w:lang w:val="en-GB"/>
              </w:rPr>
            </w:pPr>
          </w:p>
          <w:p w14:paraId="0791DF32" w14:textId="0154305F" w:rsidR="006261DD" w:rsidRDefault="006261DD" w:rsidP="001F50DB">
            <w:pPr>
              <w:jc w:val="right"/>
              <w:rPr>
                <w:sz w:val="18"/>
                <w:szCs w:val="18"/>
                <w:lang w:val="en-GB"/>
              </w:rPr>
            </w:pPr>
          </w:p>
          <w:p w14:paraId="15D060F7" w14:textId="77777777" w:rsidR="00E3449F" w:rsidRPr="00AB0C4E" w:rsidRDefault="00E3449F" w:rsidP="001F50DB">
            <w:pPr>
              <w:jc w:val="right"/>
              <w:rPr>
                <w:sz w:val="18"/>
                <w:szCs w:val="18"/>
                <w:lang w:val="en-GB"/>
              </w:rPr>
            </w:pPr>
          </w:p>
          <w:p w14:paraId="7B0F3AF9" w14:textId="77777777" w:rsidR="009E5DDF" w:rsidRDefault="009E5DDF" w:rsidP="001F50DB">
            <w:pPr>
              <w:jc w:val="right"/>
              <w:rPr>
                <w:sz w:val="18"/>
                <w:szCs w:val="18"/>
                <w:lang w:val="en-GB"/>
              </w:rPr>
            </w:pPr>
          </w:p>
          <w:p w14:paraId="52FC8C91" w14:textId="77777777" w:rsidR="009E5DDF" w:rsidRDefault="009E5DDF" w:rsidP="001F50DB">
            <w:pPr>
              <w:jc w:val="right"/>
              <w:rPr>
                <w:sz w:val="18"/>
                <w:szCs w:val="18"/>
                <w:lang w:val="en-GB"/>
              </w:rPr>
            </w:pPr>
          </w:p>
          <w:p w14:paraId="761CFB8A" w14:textId="30374270" w:rsidR="006261DD" w:rsidRPr="00AB0C4E" w:rsidRDefault="006C616C" w:rsidP="001F50DB">
            <w:pPr>
              <w:jc w:val="right"/>
              <w:rPr>
                <w:sz w:val="18"/>
                <w:szCs w:val="18"/>
                <w:lang w:val="en-GB"/>
              </w:rPr>
            </w:pPr>
            <w:r w:rsidRPr="00AB0C4E">
              <w:rPr>
                <w:sz w:val="18"/>
                <w:szCs w:val="18"/>
                <w:lang w:val="en-GB"/>
              </w:rPr>
              <w:t>IAS 36.130(e)</w:t>
            </w:r>
          </w:p>
          <w:p w14:paraId="5AEFAF4C" w14:textId="5EBE2D43" w:rsidR="006261DD" w:rsidRPr="00AB0C4E" w:rsidRDefault="006C616C" w:rsidP="001F50DB">
            <w:pPr>
              <w:jc w:val="right"/>
              <w:rPr>
                <w:sz w:val="18"/>
                <w:szCs w:val="18"/>
                <w:lang w:val="en-GB"/>
              </w:rPr>
            </w:pPr>
            <w:r w:rsidRPr="00AB0C4E">
              <w:rPr>
                <w:sz w:val="18"/>
                <w:szCs w:val="18"/>
                <w:lang w:val="en-GB"/>
              </w:rPr>
              <w:t>IAS 36.134(a)</w:t>
            </w:r>
          </w:p>
          <w:p w14:paraId="7B31D159" w14:textId="77777777" w:rsidR="006261DD" w:rsidRPr="00AB0C4E" w:rsidRDefault="006261DD" w:rsidP="001F50DB">
            <w:pPr>
              <w:jc w:val="right"/>
              <w:rPr>
                <w:sz w:val="18"/>
                <w:szCs w:val="18"/>
                <w:lang w:val="en-GB"/>
              </w:rPr>
            </w:pPr>
          </w:p>
          <w:p w14:paraId="492EFB24" w14:textId="77777777" w:rsidR="006261DD" w:rsidRPr="00AB0C4E" w:rsidRDefault="006261DD" w:rsidP="001F50DB">
            <w:pPr>
              <w:jc w:val="right"/>
              <w:rPr>
                <w:sz w:val="18"/>
                <w:szCs w:val="18"/>
                <w:lang w:val="en-GB"/>
              </w:rPr>
            </w:pPr>
          </w:p>
          <w:p w14:paraId="0E73565A" w14:textId="77777777" w:rsidR="006261DD" w:rsidRPr="00AB0C4E" w:rsidRDefault="006261DD" w:rsidP="001F50DB">
            <w:pPr>
              <w:jc w:val="right"/>
              <w:rPr>
                <w:sz w:val="18"/>
                <w:szCs w:val="18"/>
                <w:lang w:val="en-GB"/>
              </w:rPr>
            </w:pPr>
          </w:p>
          <w:p w14:paraId="7EEBC95A" w14:textId="77777777" w:rsidR="006261DD" w:rsidRPr="00AB0C4E" w:rsidRDefault="006261DD" w:rsidP="001F50DB">
            <w:pPr>
              <w:jc w:val="right"/>
              <w:rPr>
                <w:sz w:val="18"/>
                <w:szCs w:val="18"/>
                <w:lang w:val="en-GB"/>
              </w:rPr>
            </w:pPr>
          </w:p>
          <w:p w14:paraId="72033985" w14:textId="77777777" w:rsidR="006261DD" w:rsidRPr="00AB0C4E" w:rsidRDefault="006261DD" w:rsidP="009E5DDF">
            <w:pPr>
              <w:jc w:val="right"/>
              <w:rPr>
                <w:sz w:val="18"/>
                <w:szCs w:val="18"/>
                <w:lang w:val="en-GB"/>
              </w:rPr>
            </w:pPr>
            <w:r w:rsidRPr="00AB0C4E">
              <w:rPr>
                <w:sz w:val="18"/>
                <w:szCs w:val="18"/>
                <w:lang w:val="en-GB"/>
              </w:rPr>
              <w:t xml:space="preserve">IAS </w:t>
            </w:r>
            <w:r w:rsidR="006C616C" w:rsidRPr="00AB0C4E">
              <w:rPr>
                <w:sz w:val="18"/>
                <w:szCs w:val="18"/>
                <w:lang w:val="en-GB"/>
              </w:rPr>
              <w:t>36.126(a)</w:t>
            </w:r>
          </w:p>
          <w:p w14:paraId="4264A0F7" w14:textId="77777777" w:rsidR="00EE0B70" w:rsidRPr="00AB0C4E" w:rsidRDefault="00EE0B70" w:rsidP="001F50DB">
            <w:pPr>
              <w:jc w:val="right"/>
              <w:rPr>
                <w:lang w:val="en-GB"/>
              </w:rPr>
            </w:pPr>
          </w:p>
          <w:p w14:paraId="2E0A48DC" w14:textId="77777777" w:rsidR="00EE0B70" w:rsidRPr="00AB0C4E" w:rsidRDefault="00EE0B70" w:rsidP="001F50DB">
            <w:pPr>
              <w:jc w:val="right"/>
              <w:rPr>
                <w:lang w:val="en-GB"/>
              </w:rPr>
            </w:pPr>
          </w:p>
          <w:p w14:paraId="27F7B2AE" w14:textId="77777777" w:rsidR="00BE7455" w:rsidRPr="00AB0C4E" w:rsidRDefault="00BE7455" w:rsidP="001F50DB">
            <w:pPr>
              <w:jc w:val="right"/>
              <w:rPr>
                <w:sz w:val="18"/>
                <w:szCs w:val="18"/>
                <w:lang w:val="en-GB"/>
              </w:rPr>
            </w:pPr>
          </w:p>
          <w:p w14:paraId="47FBBC4F" w14:textId="77777777" w:rsidR="00BE7455" w:rsidRPr="00AB0C4E" w:rsidRDefault="00BE7455" w:rsidP="001F50DB">
            <w:pPr>
              <w:jc w:val="right"/>
              <w:rPr>
                <w:sz w:val="18"/>
                <w:szCs w:val="18"/>
                <w:lang w:val="en-GB"/>
              </w:rPr>
            </w:pPr>
          </w:p>
          <w:p w14:paraId="16021C37" w14:textId="77777777" w:rsidR="001C301F" w:rsidRPr="00AB0C4E" w:rsidRDefault="001C301F" w:rsidP="001F50DB">
            <w:pPr>
              <w:jc w:val="right"/>
              <w:rPr>
                <w:sz w:val="18"/>
                <w:szCs w:val="18"/>
                <w:lang w:val="en-GB"/>
              </w:rPr>
            </w:pPr>
          </w:p>
          <w:p w14:paraId="4AAE0254" w14:textId="7DF36ADB" w:rsidR="001C301F" w:rsidRDefault="001C301F" w:rsidP="001F50DB">
            <w:pPr>
              <w:jc w:val="right"/>
              <w:rPr>
                <w:sz w:val="18"/>
                <w:szCs w:val="18"/>
                <w:lang w:val="en-GB"/>
              </w:rPr>
            </w:pPr>
          </w:p>
          <w:p w14:paraId="7E575CF9" w14:textId="1C69A6AD" w:rsidR="009E5DDF" w:rsidRDefault="009E5DDF" w:rsidP="001F50DB">
            <w:pPr>
              <w:jc w:val="right"/>
              <w:rPr>
                <w:sz w:val="18"/>
                <w:szCs w:val="18"/>
                <w:lang w:val="en-GB"/>
              </w:rPr>
            </w:pPr>
          </w:p>
          <w:p w14:paraId="07633B91" w14:textId="77777777" w:rsidR="009E5DDF" w:rsidRPr="00AB0C4E" w:rsidRDefault="009E5DDF" w:rsidP="00E34B15">
            <w:pPr>
              <w:rPr>
                <w:sz w:val="18"/>
                <w:szCs w:val="18"/>
                <w:lang w:val="en-GB"/>
              </w:rPr>
            </w:pPr>
          </w:p>
          <w:p w14:paraId="2BA6FD29" w14:textId="77777777" w:rsidR="007B74D9" w:rsidRDefault="007B74D9" w:rsidP="001F50DB">
            <w:pPr>
              <w:jc w:val="right"/>
              <w:rPr>
                <w:sz w:val="18"/>
                <w:szCs w:val="18"/>
                <w:lang w:val="en-GB"/>
              </w:rPr>
            </w:pPr>
          </w:p>
          <w:p w14:paraId="70816DB0" w14:textId="77777777" w:rsidR="007B74D9" w:rsidRDefault="007B74D9" w:rsidP="001F50DB">
            <w:pPr>
              <w:jc w:val="right"/>
              <w:rPr>
                <w:sz w:val="18"/>
                <w:szCs w:val="18"/>
                <w:lang w:val="en-GB"/>
              </w:rPr>
            </w:pPr>
          </w:p>
          <w:p w14:paraId="3D47C75A" w14:textId="78EB2899" w:rsidR="00BE7455" w:rsidRPr="00AB0C4E" w:rsidRDefault="001C301F" w:rsidP="001F50DB">
            <w:pPr>
              <w:jc w:val="right"/>
              <w:rPr>
                <w:sz w:val="18"/>
                <w:szCs w:val="18"/>
                <w:lang w:val="en-GB"/>
              </w:rPr>
            </w:pPr>
            <w:r w:rsidRPr="00AB0C4E">
              <w:rPr>
                <w:sz w:val="18"/>
                <w:szCs w:val="18"/>
                <w:lang w:val="en-GB"/>
              </w:rPr>
              <w:t>IAS 36.134(f)(</w:t>
            </w:r>
            <w:proofErr w:type="spellStart"/>
            <w:r w:rsidRPr="00AB0C4E">
              <w:rPr>
                <w:sz w:val="18"/>
                <w:szCs w:val="18"/>
                <w:lang w:val="en-GB"/>
              </w:rPr>
              <w:t>i</w:t>
            </w:r>
            <w:proofErr w:type="spellEnd"/>
            <w:r w:rsidRPr="00AB0C4E">
              <w:rPr>
                <w:sz w:val="18"/>
                <w:szCs w:val="18"/>
                <w:lang w:val="en-GB"/>
              </w:rPr>
              <w:t>)</w:t>
            </w:r>
          </w:p>
          <w:p w14:paraId="6FFC3F1B" w14:textId="77777777" w:rsidR="00BE7455" w:rsidRPr="00AB0C4E" w:rsidRDefault="00BE7455" w:rsidP="001F50DB">
            <w:pPr>
              <w:jc w:val="right"/>
              <w:rPr>
                <w:sz w:val="18"/>
                <w:szCs w:val="18"/>
                <w:lang w:val="en-GB"/>
              </w:rPr>
            </w:pPr>
          </w:p>
          <w:p w14:paraId="1BE86DD8" w14:textId="109C1EF8" w:rsidR="00BE7455" w:rsidRPr="00AB0C4E" w:rsidRDefault="00BE7455" w:rsidP="001F50DB">
            <w:pPr>
              <w:jc w:val="right"/>
              <w:rPr>
                <w:sz w:val="18"/>
                <w:szCs w:val="18"/>
                <w:lang w:val="en-GB"/>
              </w:rPr>
            </w:pPr>
          </w:p>
          <w:p w14:paraId="505CCA63" w14:textId="77777777" w:rsidR="001C301F" w:rsidRPr="00AB0C4E" w:rsidRDefault="001C301F" w:rsidP="001F50DB">
            <w:pPr>
              <w:jc w:val="right"/>
              <w:rPr>
                <w:sz w:val="18"/>
                <w:szCs w:val="18"/>
                <w:lang w:val="en-GB"/>
              </w:rPr>
            </w:pPr>
          </w:p>
          <w:p w14:paraId="09D43A2A" w14:textId="0436D5D4" w:rsidR="00EE0B70" w:rsidRPr="00AB0C4E" w:rsidRDefault="00EE0B70" w:rsidP="001F50DB">
            <w:pPr>
              <w:jc w:val="right"/>
              <w:rPr>
                <w:lang w:val="en-GB"/>
              </w:rPr>
            </w:pPr>
            <w:r w:rsidRPr="00AB0C4E">
              <w:rPr>
                <w:sz w:val="18"/>
                <w:szCs w:val="18"/>
                <w:lang w:val="en-GB"/>
              </w:rPr>
              <w:t>IAS 36.134(f)</w:t>
            </w:r>
            <w:r w:rsidR="001C301F" w:rsidRPr="00AB0C4E">
              <w:rPr>
                <w:sz w:val="18"/>
                <w:szCs w:val="18"/>
                <w:lang w:val="en-GB"/>
              </w:rPr>
              <w:t xml:space="preserve"> (iii)</w:t>
            </w:r>
          </w:p>
        </w:tc>
        <w:tc>
          <w:tcPr>
            <w:tcW w:w="12524" w:type="dxa"/>
            <w:shd w:val="clear" w:color="auto" w:fill="FFFFFF" w:themeFill="background1"/>
          </w:tcPr>
          <w:p w14:paraId="6265EFA7" w14:textId="76C48E83" w:rsidR="003C7148" w:rsidRPr="00AB0C4E" w:rsidRDefault="003C7148" w:rsidP="00273EE3">
            <w:pPr>
              <w:ind w:left="-18"/>
              <w:rPr>
                <w:rFonts w:cstheme="minorHAnsi"/>
                <w:snapToGrid w:val="0"/>
                <w:lang w:val="en-GB"/>
              </w:rPr>
            </w:pPr>
            <w:r w:rsidRPr="00AB0C4E">
              <w:rPr>
                <w:rFonts w:cstheme="minorHAnsi"/>
                <w:snapToGrid w:val="0"/>
                <w:lang w:val="en-GB"/>
              </w:rPr>
              <w:lastRenderedPageBreak/>
              <w:t xml:space="preserve">Most revenue streams have experienced significant reductions since the pandemic’s effects became widespread. </w:t>
            </w:r>
            <w:r w:rsidR="00AA53C9" w:rsidRPr="00AB0C4E">
              <w:rPr>
                <w:rFonts w:cstheme="minorHAnsi"/>
                <w:snapToGrid w:val="0"/>
                <w:lang w:val="en-GB"/>
              </w:rPr>
              <w:t>The Company</w:t>
            </w:r>
            <w:r w:rsidRPr="00AB0C4E">
              <w:rPr>
                <w:rFonts w:cstheme="minorHAnsi"/>
                <w:snapToGrid w:val="0"/>
                <w:lang w:val="en-GB"/>
              </w:rPr>
              <w:t xml:space="preserve"> considered the reduced sales and reductions in budgeted revenue as indicators of impairment, and therefore determined the recoverable amount for all of its cash generating units. The recoverable amount is the higher of fair value less costs of disposal and value in use. Value in use was higher in all cases due to the nature of the assets included in the carrying amount of cash generating units.</w:t>
            </w:r>
          </w:p>
          <w:p w14:paraId="7BA7C509" w14:textId="77777777" w:rsidR="003C7148" w:rsidRPr="00AB0C4E" w:rsidRDefault="003C7148" w:rsidP="003C7148">
            <w:pPr>
              <w:ind w:left="540"/>
              <w:rPr>
                <w:rFonts w:cstheme="minorHAnsi"/>
                <w:snapToGrid w:val="0"/>
                <w:lang w:val="en-GB"/>
              </w:rPr>
            </w:pPr>
          </w:p>
          <w:p w14:paraId="6E3EF5A2" w14:textId="7FDC26AE" w:rsidR="003C7148" w:rsidRPr="00AB0C4E" w:rsidRDefault="003C7148" w:rsidP="00273EE3">
            <w:pPr>
              <w:ind w:left="-18"/>
              <w:rPr>
                <w:rFonts w:cstheme="minorHAnsi"/>
                <w:snapToGrid w:val="0"/>
                <w:lang w:val="en-GB"/>
              </w:rPr>
            </w:pPr>
            <w:r w:rsidRPr="00AB0C4E">
              <w:rPr>
                <w:rFonts w:cstheme="minorHAnsi"/>
                <w:snapToGrid w:val="0"/>
                <w:lang w:val="en-GB"/>
              </w:rPr>
              <w:t>Groups of cash generating units are summarised as follows, with each</w:t>
            </w:r>
            <w:r w:rsidR="006261DD" w:rsidRPr="00AB0C4E">
              <w:rPr>
                <w:rFonts w:cstheme="minorHAnsi"/>
                <w:snapToGrid w:val="0"/>
                <w:lang w:val="en-GB"/>
              </w:rPr>
              <w:t xml:space="preserve"> Z Layout branded</w:t>
            </w:r>
            <w:r w:rsidRPr="00AB0C4E">
              <w:rPr>
                <w:rFonts w:cstheme="minorHAnsi"/>
                <w:snapToGrid w:val="0"/>
                <w:lang w:val="en-GB"/>
              </w:rPr>
              <w:t xml:space="preserve"> retail location and Great Times Sports Equipment representing a distinct cash generating unit:</w:t>
            </w:r>
          </w:p>
          <w:p w14:paraId="0062425D" w14:textId="77777777" w:rsidR="003C7148" w:rsidRPr="00AB0C4E" w:rsidRDefault="003C7148" w:rsidP="003C7148">
            <w:pPr>
              <w:ind w:left="540"/>
              <w:rPr>
                <w:rFonts w:cstheme="minorHAnsi"/>
                <w:snapToGrid w:val="0"/>
                <w:lang w:val="en-GB"/>
              </w:rPr>
            </w:pPr>
          </w:p>
          <w:p w14:paraId="54989CA9" w14:textId="77777777" w:rsidR="003C7148" w:rsidRPr="00AB0C4E" w:rsidRDefault="003C7148" w:rsidP="003C7148">
            <w:pPr>
              <w:pStyle w:val="ListParagraph"/>
              <w:numPr>
                <w:ilvl w:val="0"/>
                <w:numId w:val="35"/>
              </w:numPr>
              <w:contextualSpacing/>
              <w:rPr>
                <w:rFonts w:cstheme="minorHAnsi"/>
                <w:snapToGrid w:val="0"/>
              </w:rPr>
            </w:pPr>
            <w:r w:rsidRPr="00AB0C4E">
              <w:rPr>
                <w:rFonts w:cstheme="minorHAnsi"/>
                <w:snapToGrid w:val="0"/>
              </w:rPr>
              <w:t>Online sales function;</w:t>
            </w:r>
          </w:p>
          <w:p w14:paraId="7DBEE60B" w14:textId="0787DBAF" w:rsidR="003C7148" w:rsidRPr="00AB0C4E" w:rsidRDefault="002C1F43" w:rsidP="003C7148">
            <w:pPr>
              <w:pStyle w:val="ListParagraph"/>
              <w:numPr>
                <w:ilvl w:val="0"/>
                <w:numId w:val="35"/>
              </w:numPr>
              <w:contextualSpacing/>
              <w:rPr>
                <w:rFonts w:cstheme="minorHAnsi"/>
                <w:snapToGrid w:val="0"/>
              </w:rPr>
            </w:pPr>
            <w:r w:rsidRPr="00AB0C4E">
              <w:rPr>
                <w:rFonts w:cstheme="minorHAnsi"/>
                <w:snapToGrid w:val="0"/>
              </w:rPr>
              <w:t>Z</w:t>
            </w:r>
            <w:r w:rsidR="003C7148" w:rsidRPr="00AB0C4E">
              <w:rPr>
                <w:rFonts w:cstheme="minorHAnsi"/>
                <w:snapToGrid w:val="0"/>
              </w:rPr>
              <w:t xml:space="preserve"> Layout branded retail locations; and</w:t>
            </w:r>
          </w:p>
          <w:p w14:paraId="1F8C3CBE" w14:textId="5840BFA0" w:rsidR="003C7148" w:rsidRPr="00AB0C4E" w:rsidRDefault="003C7148" w:rsidP="003C7148">
            <w:pPr>
              <w:pStyle w:val="ListParagraph"/>
              <w:numPr>
                <w:ilvl w:val="0"/>
                <w:numId w:val="35"/>
              </w:numPr>
              <w:contextualSpacing/>
              <w:rPr>
                <w:rFonts w:cstheme="minorHAnsi"/>
                <w:snapToGrid w:val="0"/>
              </w:rPr>
            </w:pPr>
            <w:r w:rsidRPr="00AB0C4E">
              <w:rPr>
                <w:rFonts w:cstheme="minorHAnsi"/>
                <w:snapToGrid w:val="0"/>
              </w:rPr>
              <w:t>Great Times Sports Equipment (</w:t>
            </w:r>
            <w:proofErr w:type="spellStart"/>
            <w:r w:rsidRPr="00AB0C4E">
              <w:rPr>
                <w:rFonts w:cstheme="minorHAnsi"/>
                <w:snapToGrid w:val="0"/>
              </w:rPr>
              <w:t>GTSE</w:t>
            </w:r>
            <w:proofErr w:type="spellEnd"/>
            <w:r w:rsidRPr="00AB0C4E">
              <w:rPr>
                <w:rFonts w:cstheme="minorHAnsi"/>
                <w:snapToGrid w:val="0"/>
              </w:rPr>
              <w:t>) retail locations</w:t>
            </w:r>
            <w:r w:rsidR="002C1F43" w:rsidRPr="00AB0C4E">
              <w:rPr>
                <w:rFonts w:cstheme="minorHAnsi"/>
                <w:snapToGrid w:val="0"/>
              </w:rPr>
              <w:t>, which were acquired in a business combination in 2018</w:t>
            </w:r>
            <w:r w:rsidRPr="00AB0C4E">
              <w:rPr>
                <w:rFonts w:cstheme="minorHAnsi"/>
                <w:snapToGrid w:val="0"/>
              </w:rPr>
              <w:t>.</w:t>
            </w:r>
          </w:p>
          <w:p w14:paraId="62030B87" w14:textId="77777777" w:rsidR="003C7148" w:rsidRPr="00AB0C4E" w:rsidRDefault="003C7148" w:rsidP="003C7148">
            <w:pPr>
              <w:ind w:left="540"/>
              <w:rPr>
                <w:rFonts w:cstheme="minorHAnsi"/>
                <w:snapToGrid w:val="0"/>
                <w:lang w:val="en-GB"/>
              </w:rPr>
            </w:pPr>
          </w:p>
          <w:p w14:paraId="29DE3753" w14:textId="77777777" w:rsidR="003C7148" w:rsidRPr="00AB0C4E" w:rsidRDefault="003C7148" w:rsidP="00273EE3">
            <w:pPr>
              <w:ind w:left="-18"/>
              <w:rPr>
                <w:rFonts w:cstheme="minorHAnsi"/>
                <w:snapToGrid w:val="0"/>
                <w:lang w:val="en-GB"/>
              </w:rPr>
            </w:pPr>
            <w:r w:rsidRPr="00AB0C4E">
              <w:rPr>
                <w:rFonts w:cstheme="minorHAnsi"/>
                <w:snapToGrid w:val="0"/>
                <w:lang w:val="en-GB"/>
              </w:rPr>
              <w:t xml:space="preserve">Recoverable amount exceeded the carrying amount of all cash generating units based on forecast cash flows, except for </w:t>
            </w:r>
            <w:proofErr w:type="spellStart"/>
            <w:r w:rsidRPr="00AB0C4E">
              <w:rPr>
                <w:rFonts w:cstheme="minorHAnsi"/>
                <w:snapToGrid w:val="0"/>
                <w:lang w:val="en-GB"/>
              </w:rPr>
              <w:t>GTSE</w:t>
            </w:r>
            <w:proofErr w:type="spellEnd"/>
            <w:r w:rsidRPr="00AB0C4E">
              <w:rPr>
                <w:rFonts w:cstheme="minorHAnsi"/>
                <w:snapToGrid w:val="0"/>
                <w:lang w:val="en-GB"/>
              </w:rPr>
              <w:t>. The cash flow forecasts are based on budgets for the next 5 years, with a terminal value thereafter. The cash flows were probability weighted based on the following scenarios:</w:t>
            </w:r>
          </w:p>
          <w:p w14:paraId="4CFD399A" w14:textId="77777777" w:rsidR="003C7148" w:rsidRPr="00AB0C4E" w:rsidRDefault="003C7148" w:rsidP="003C7148">
            <w:pPr>
              <w:ind w:left="540"/>
              <w:rPr>
                <w:rFonts w:cstheme="minorHAnsi"/>
                <w:snapToGrid w:val="0"/>
                <w:lang w:val="en-GB"/>
              </w:rPr>
            </w:pPr>
          </w:p>
          <w:p w14:paraId="2997A99B" w14:textId="72D98B92" w:rsidR="003C7148" w:rsidRPr="00AB0C4E" w:rsidRDefault="003C7148" w:rsidP="003C7148">
            <w:pPr>
              <w:pStyle w:val="ListParagraph"/>
              <w:numPr>
                <w:ilvl w:val="0"/>
                <w:numId w:val="36"/>
              </w:numPr>
              <w:ind w:left="1276"/>
              <w:contextualSpacing/>
              <w:rPr>
                <w:rFonts w:cstheme="minorHAnsi"/>
                <w:snapToGrid w:val="0"/>
              </w:rPr>
            </w:pPr>
            <w:r w:rsidRPr="00AB0C4E">
              <w:rPr>
                <w:rFonts w:cstheme="minorHAnsi"/>
                <w:snapToGrid w:val="0"/>
              </w:rPr>
              <w:t xml:space="preserve">Base case (50% weighting): stores remain closed for </w:t>
            </w:r>
            <w:r w:rsidR="002C1F43" w:rsidRPr="00AB0C4E">
              <w:rPr>
                <w:rFonts w:cstheme="minorHAnsi"/>
                <w:snapToGrid w:val="0"/>
              </w:rPr>
              <w:t>16</w:t>
            </w:r>
            <w:r w:rsidRPr="00AB0C4E">
              <w:rPr>
                <w:rFonts w:cstheme="minorHAnsi"/>
                <w:snapToGrid w:val="0"/>
              </w:rPr>
              <w:t xml:space="preserve"> weeks, with consumer demand not returning to pre-pandemic levels until </w:t>
            </w:r>
            <w:r w:rsidR="006664D4" w:rsidRPr="00AB0C4E">
              <w:rPr>
                <w:rFonts w:cstheme="minorHAnsi"/>
                <w:snapToGrid w:val="0"/>
              </w:rPr>
              <w:t>September</w:t>
            </w:r>
            <w:r w:rsidRPr="00AB0C4E">
              <w:rPr>
                <w:rFonts w:cstheme="minorHAnsi"/>
                <w:snapToGrid w:val="0"/>
              </w:rPr>
              <w:t xml:space="preserve"> 2021, resulting in a significant effect on most of the </w:t>
            </w:r>
            <w:r w:rsidR="0045784D" w:rsidRPr="00AB0C4E">
              <w:rPr>
                <w:rFonts w:cstheme="minorHAnsi"/>
                <w:snapToGrid w:val="0"/>
              </w:rPr>
              <w:t>summer selling season</w:t>
            </w:r>
            <w:r w:rsidRPr="00AB0C4E">
              <w:rPr>
                <w:rFonts w:cstheme="minorHAnsi"/>
                <w:snapToGrid w:val="0"/>
              </w:rPr>
              <w:t>.</w:t>
            </w:r>
          </w:p>
          <w:p w14:paraId="3A525EEC" w14:textId="2653DF2A" w:rsidR="003C7148" w:rsidRPr="00AB0C4E" w:rsidRDefault="003C7148" w:rsidP="003C7148">
            <w:pPr>
              <w:pStyle w:val="ListParagraph"/>
              <w:numPr>
                <w:ilvl w:val="0"/>
                <w:numId w:val="36"/>
              </w:numPr>
              <w:ind w:left="1276"/>
              <w:contextualSpacing/>
              <w:rPr>
                <w:rFonts w:cstheme="minorHAnsi"/>
                <w:snapToGrid w:val="0"/>
              </w:rPr>
            </w:pPr>
            <w:r w:rsidRPr="00AB0C4E">
              <w:rPr>
                <w:rFonts w:cstheme="minorHAnsi"/>
                <w:snapToGrid w:val="0"/>
              </w:rPr>
              <w:t xml:space="preserve">Positive case (20% weighting): stores remain closed for </w:t>
            </w:r>
            <w:r w:rsidR="002C1F43" w:rsidRPr="00AB0C4E">
              <w:rPr>
                <w:rFonts w:cstheme="minorHAnsi"/>
                <w:snapToGrid w:val="0"/>
              </w:rPr>
              <w:t>8</w:t>
            </w:r>
            <w:r w:rsidRPr="00AB0C4E">
              <w:rPr>
                <w:rFonts w:cstheme="minorHAnsi"/>
                <w:snapToGrid w:val="0"/>
              </w:rPr>
              <w:t xml:space="preserve"> weeks, with consumer demand returning to pre-pandemic levels by </w:t>
            </w:r>
            <w:r w:rsidR="006664D4" w:rsidRPr="00AB0C4E">
              <w:rPr>
                <w:rFonts w:cstheme="minorHAnsi"/>
                <w:snapToGrid w:val="0"/>
              </w:rPr>
              <w:t>June</w:t>
            </w:r>
            <w:r w:rsidRPr="00AB0C4E">
              <w:rPr>
                <w:rFonts w:cstheme="minorHAnsi"/>
                <w:snapToGrid w:val="0"/>
              </w:rPr>
              <w:t xml:space="preserve"> 202</w:t>
            </w:r>
            <w:r w:rsidR="006664D4" w:rsidRPr="00AB0C4E">
              <w:rPr>
                <w:rFonts w:cstheme="minorHAnsi"/>
                <w:snapToGrid w:val="0"/>
              </w:rPr>
              <w:t>1</w:t>
            </w:r>
            <w:r w:rsidRPr="00AB0C4E">
              <w:rPr>
                <w:rFonts w:cstheme="minorHAnsi"/>
                <w:snapToGrid w:val="0"/>
              </w:rPr>
              <w:t xml:space="preserve">, in time for the </w:t>
            </w:r>
            <w:r w:rsidR="0045784D" w:rsidRPr="00AB0C4E">
              <w:rPr>
                <w:rFonts w:cstheme="minorHAnsi"/>
                <w:snapToGrid w:val="0"/>
              </w:rPr>
              <w:t>summer</w:t>
            </w:r>
            <w:r w:rsidRPr="00AB0C4E">
              <w:rPr>
                <w:rFonts w:cstheme="minorHAnsi"/>
                <w:snapToGrid w:val="0"/>
              </w:rPr>
              <w:t xml:space="preserve"> selling season. </w:t>
            </w:r>
          </w:p>
          <w:p w14:paraId="051065BF" w14:textId="2DEAAB6D" w:rsidR="003C7148" w:rsidRPr="00AB0C4E" w:rsidRDefault="003C7148" w:rsidP="003C7148">
            <w:pPr>
              <w:pStyle w:val="ListParagraph"/>
              <w:numPr>
                <w:ilvl w:val="0"/>
                <w:numId w:val="36"/>
              </w:numPr>
              <w:ind w:left="1276"/>
              <w:contextualSpacing/>
              <w:rPr>
                <w:rFonts w:cstheme="minorHAnsi"/>
                <w:snapToGrid w:val="0"/>
              </w:rPr>
            </w:pPr>
            <w:r w:rsidRPr="00AB0C4E">
              <w:rPr>
                <w:rFonts w:cstheme="minorHAnsi"/>
                <w:snapToGrid w:val="0"/>
              </w:rPr>
              <w:t xml:space="preserve">Negative case (20% weighting): stores remain closed for </w:t>
            </w:r>
            <w:r w:rsidR="002C1F43" w:rsidRPr="00AB0C4E">
              <w:rPr>
                <w:rFonts w:cstheme="minorHAnsi"/>
                <w:snapToGrid w:val="0"/>
              </w:rPr>
              <w:t>24</w:t>
            </w:r>
            <w:r w:rsidRPr="00AB0C4E">
              <w:rPr>
                <w:rFonts w:cstheme="minorHAnsi"/>
                <w:snapToGrid w:val="0"/>
              </w:rPr>
              <w:t xml:space="preserve"> weeks, with consumer demand not returning to pre-pandemic levels until </w:t>
            </w:r>
            <w:r w:rsidR="006664D4" w:rsidRPr="00AB0C4E">
              <w:rPr>
                <w:rFonts w:cstheme="minorHAnsi"/>
                <w:snapToGrid w:val="0"/>
              </w:rPr>
              <w:t>December</w:t>
            </w:r>
            <w:r w:rsidRPr="00AB0C4E">
              <w:rPr>
                <w:rFonts w:cstheme="minorHAnsi"/>
                <w:snapToGrid w:val="0"/>
              </w:rPr>
              <w:t xml:space="preserve"> 2021.</w:t>
            </w:r>
          </w:p>
          <w:p w14:paraId="611BF3FA" w14:textId="59281809" w:rsidR="003C7148" w:rsidRPr="00AB0C4E" w:rsidRDefault="003C7148" w:rsidP="003C7148">
            <w:pPr>
              <w:pStyle w:val="ListParagraph"/>
              <w:numPr>
                <w:ilvl w:val="0"/>
                <w:numId w:val="36"/>
              </w:numPr>
              <w:ind w:left="1276"/>
              <w:contextualSpacing/>
              <w:rPr>
                <w:rFonts w:cstheme="minorHAnsi"/>
                <w:snapToGrid w:val="0"/>
              </w:rPr>
            </w:pPr>
            <w:r w:rsidRPr="00AB0C4E">
              <w:rPr>
                <w:rFonts w:cstheme="minorHAnsi"/>
                <w:snapToGrid w:val="0"/>
              </w:rPr>
              <w:t xml:space="preserve">Worst case (10% weighting): stores remain closed for </w:t>
            </w:r>
            <w:r w:rsidR="002C1F43" w:rsidRPr="00AB0C4E">
              <w:rPr>
                <w:rFonts w:cstheme="minorHAnsi"/>
                <w:snapToGrid w:val="0"/>
              </w:rPr>
              <w:t>40</w:t>
            </w:r>
            <w:r w:rsidRPr="00AB0C4E">
              <w:rPr>
                <w:rFonts w:cstheme="minorHAnsi"/>
                <w:snapToGrid w:val="0"/>
              </w:rPr>
              <w:t xml:space="preserve"> weeks, causing significant disruptions to the 202</w:t>
            </w:r>
            <w:r w:rsidR="006664D4" w:rsidRPr="00AB0C4E">
              <w:rPr>
                <w:rFonts w:cstheme="minorHAnsi"/>
                <w:snapToGrid w:val="0"/>
              </w:rPr>
              <w:t>1</w:t>
            </w:r>
            <w:r w:rsidRPr="00AB0C4E">
              <w:rPr>
                <w:rFonts w:cstheme="minorHAnsi"/>
                <w:snapToGrid w:val="0"/>
              </w:rPr>
              <w:t xml:space="preserve"> Christmas selling season, with consumer demand not returning to pre-pandemic levels until </w:t>
            </w:r>
            <w:r w:rsidR="006664D4" w:rsidRPr="00AB0C4E">
              <w:rPr>
                <w:rFonts w:cstheme="minorHAnsi"/>
                <w:snapToGrid w:val="0"/>
              </w:rPr>
              <w:t>March</w:t>
            </w:r>
            <w:r w:rsidRPr="00AB0C4E">
              <w:rPr>
                <w:rFonts w:cstheme="minorHAnsi"/>
                <w:snapToGrid w:val="0"/>
              </w:rPr>
              <w:t xml:space="preserve"> 202</w:t>
            </w:r>
            <w:r w:rsidR="006664D4" w:rsidRPr="00AB0C4E">
              <w:rPr>
                <w:rFonts w:cstheme="minorHAnsi"/>
                <w:snapToGrid w:val="0"/>
              </w:rPr>
              <w:t>2</w:t>
            </w:r>
            <w:r w:rsidRPr="00AB0C4E">
              <w:rPr>
                <w:rFonts w:cstheme="minorHAnsi"/>
                <w:snapToGrid w:val="0"/>
              </w:rPr>
              <w:t xml:space="preserve">. </w:t>
            </w:r>
          </w:p>
          <w:p w14:paraId="086BA261" w14:textId="77777777" w:rsidR="003C7148" w:rsidRPr="00AB0C4E" w:rsidRDefault="003C7148" w:rsidP="003C7148">
            <w:pPr>
              <w:rPr>
                <w:rFonts w:cstheme="minorHAnsi"/>
                <w:snapToGrid w:val="0"/>
                <w:lang w:val="en-GB"/>
              </w:rPr>
            </w:pPr>
          </w:p>
          <w:p w14:paraId="24410D93" w14:textId="31AC1361" w:rsidR="003C7148" w:rsidRPr="00AB0C4E" w:rsidRDefault="003C7148" w:rsidP="00273EE3">
            <w:pPr>
              <w:rPr>
                <w:rFonts w:cstheme="minorHAnsi"/>
                <w:snapToGrid w:val="0"/>
                <w:lang w:val="en-GB"/>
              </w:rPr>
            </w:pPr>
            <w:r w:rsidRPr="00AB0C4E">
              <w:rPr>
                <w:rFonts w:cstheme="minorHAnsi"/>
                <w:snapToGrid w:val="0"/>
                <w:lang w:val="en-GB"/>
              </w:rPr>
              <w:t xml:space="preserve">The terminal value includes a growth rate of 2.5%, which is the average long-term growth rate for </w:t>
            </w:r>
            <w:r w:rsidR="006664D4" w:rsidRPr="00AB0C4E">
              <w:rPr>
                <w:rFonts w:cstheme="minorHAnsi"/>
                <w:snapToGrid w:val="0"/>
                <w:lang w:val="en-GB"/>
              </w:rPr>
              <w:t>the Company’s</w:t>
            </w:r>
            <w:r w:rsidRPr="00AB0C4E">
              <w:rPr>
                <w:rFonts w:cstheme="minorHAnsi"/>
                <w:snapToGrid w:val="0"/>
                <w:lang w:val="en-GB"/>
              </w:rPr>
              <w:t xml:space="preserve"> industry. </w:t>
            </w:r>
          </w:p>
          <w:p w14:paraId="2EED1FA3" w14:textId="59E37BF7" w:rsidR="003C7148" w:rsidRPr="00AB0C4E" w:rsidRDefault="003C7148" w:rsidP="003C7148">
            <w:pPr>
              <w:ind w:left="540"/>
              <w:rPr>
                <w:rFonts w:cstheme="minorHAnsi"/>
                <w:snapToGrid w:val="0"/>
                <w:lang w:val="en-GB"/>
              </w:rPr>
            </w:pPr>
          </w:p>
          <w:p w14:paraId="3D83E85A" w14:textId="00EC4596" w:rsidR="007B74D9" w:rsidRPr="00E34B15" w:rsidRDefault="007B74D9" w:rsidP="00273EE3">
            <w:pPr>
              <w:rPr>
                <w:rFonts w:cstheme="minorHAnsi"/>
                <w:i/>
                <w:iCs/>
                <w:snapToGrid w:val="0"/>
                <w:lang w:val="en-GB"/>
              </w:rPr>
            </w:pPr>
            <w:r w:rsidRPr="00E34B15">
              <w:rPr>
                <w:rFonts w:cstheme="minorHAnsi"/>
                <w:i/>
                <w:iCs/>
                <w:snapToGrid w:val="0"/>
                <w:lang w:val="en-GB"/>
              </w:rPr>
              <w:t>(Continued…)</w:t>
            </w:r>
          </w:p>
          <w:p w14:paraId="65E4044D" w14:textId="77777777" w:rsidR="007B74D9" w:rsidRDefault="007B74D9" w:rsidP="00273EE3">
            <w:pPr>
              <w:rPr>
                <w:rFonts w:cstheme="minorHAnsi"/>
                <w:snapToGrid w:val="0"/>
                <w:lang w:val="en-GB"/>
              </w:rPr>
            </w:pPr>
          </w:p>
          <w:p w14:paraId="3124846C" w14:textId="603A7413" w:rsidR="003C7148" w:rsidRPr="00AB0C4E" w:rsidRDefault="003C7148" w:rsidP="00273EE3">
            <w:pPr>
              <w:rPr>
                <w:rFonts w:cstheme="minorHAnsi"/>
                <w:snapToGrid w:val="0"/>
                <w:lang w:val="en-GB"/>
              </w:rPr>
            </w:pPr>
            <w:r w:rsidRPr="00AB0C4E">
              <w:rPr>
                <w:rFonts w:cstheme="minorHAnsi"/>
                <w:snapToGrid w:val="0"/>
                <w:lang w:val="en-GB"/>
              </w:rPr>
              <w:t xml:space="preserve">These cash flow projections were weighted as noted above for all cash generating units except for those related to </w:t>
            </w:r>
            <w:proofErr w:type="spellStart"/>
            <w:r w:rsidRPr="00AB0C4E">
              <w:rPr>
                <w:rFonts w:cstheme="minorHAnsi"/>
                <w:snapToGrid w:val="0"/>
                <w:lang w:val="en-GB"/>
              </w:rPr>
              <w:t>GTSE</w:t>
            </w:r>
            <w:proofErr w:type="spellEnd"/>
            <w:r w:rsidRPr="00AB0C4E">
              <w:rPr>
                <w:rFonts w:cstheme="minorHAnsi"/>
                <w:snapToGrid w:val="0"/>
                <w:lang w:val="en-GB"/>
              </w:rPr>
              <w:t xml:space="preserve">, where the negative case was weighted 40% and the positive case was weighted 0%. This is due to expectations that </w:t>
            </w:r>
            <w:proofErr w:type="spellStart"/>
            <w:r w:rsidRPr="00AB0C4E">
              <w:rPr>
                <w:rFonts w:cstheme="minorHAnsi"/>
                <w:snapToGrid w:val="0"/>
                <w:lang w:val="en-GB"/>
              </w:rPr>
              <w:t>GTSE’s</w:t>
            </w:r>
            <w:proofErr w:type="spellEnd"/>
            <w:r w:rsidRPr="00AB0C4E">
              <w:rPr>
                <w:rFonts w:cstheme="minorHAnsi"/>
                <w:snapToGrid w:val="0"/>
                <w:lang w:val="en-GB"/>
              </w:rPr>
              <w:t xml:space="preserve"> product lines will take longer to return to pre-pandemic demand than other cash generating units</w:t>
            </w:r>
            <w:r w:rsidR="00273EE3" w:rsidRPr="00AB0C4E">
              <w:rPr>
                <w:rFonts w:cstheme="minorHAnsi"/>
                <w:snapToGrid w:val="0"/>
                <w:lang w:val="en-GB"/>
              </w:rPr>
              <w:t xml:space="preserve"> and </w:t>
            </w:r>
            <w:proofErr w:type="spellStart"/>
            <w:r w:rsidR="00273EE3" w:rsidRPr="00AB0C4E">
              <w:rPr>
                <w:rFonts w:cstheme="minorHAnsi"/>
                <w:snapToGrid w:val="0"/>
                <w:lang w:val="en-GB"/>
              </w:rPr>
              <w:t>GTSE’s</w:t>
            </w:r>
            <w:proofErr w:type="spellEnd"/>
            <w:r w:rsidR="00273EE3" w:rsidRPr="00AB0C4E">
              <w:rPr>
                <w:rFonts w:cstheme="minorHAnsi"/>
                <w:snapToGrid w:val="0"/>
                <w:lang w:val="en-GB"/>
              </w:rPr>
              <w:t xml:space="preserve"> locations being more significantly affected by </w:t>
            </w:r>
            <w:r w:rsidR="003B1706" w:rsidRPr="00AB0C4E">
              <w:rPr>
                <w:rFonts w:cstheme="minorHAnsi"/>
                <w:snapToGrid w:val="0"/>
                <w:lang w:val="en-GB"/>
              </w:rPr>
              <w:t>government-imposed</w:t>
            </w:r>
            <w:r w:rsidR="00273EE3" w:rsidRPr="00AB0C4E">
              <w:rPr>
                <w:rFonts w:cstheme="minorHAnsi"/>
                <w:snapToGrid w:val="0"/>
                <w:lang w:val="en-GB"/>
              </w:rPr>
              <w:t xml:space="preserve"> lockdowns.</w:t>
            </w:r>
            <w:r w:rsidRPr="00AB0C4E">
              <w:rPr>
                <w:rFonts w:cstheme="minorHAnsi"/>
                <w:snapToGrid w:val="0"/>
                <w:lang w:val="en-GB"/>
              </w:rPr>
              <w:t xml:space="preserve"> </w:t>
            </w:r>
          </w:p>
          <w:p w14:paraId="60F8F7C0" w14:textId="77777777" w:rsidR="003C7148" w:rsidRPr="00AB0C4E" w:rsidRDefault="003C7148" w:rsidP="00273EE3">
            <w:pPr>
              <w:rPr>
                <w:rFonts w:cstheme="minorHAnsi"/>
                <w:snapToGrid w:val="0"/>
                <w:lang w:val="en-GB"/>
              </w:rPr>
            </w:pPr>
          </w:p>
          <w:p w14:paraId="4A457CC2" w14:textId="6588D2B0" w:rsidR="003C7148" w:rsidRPr="00AB0C4E" w:rsidRDefault="003C7148" w:rsidP="00273EE3">
            <w:pPr>
              <w:rPr>
                <w:rFonts w:cstheme="minorHAnsi"/>
                <w:snapToGrid w:val="0"/>
                <w:lang w:val="en-GB"/>
              </w:rPr>
            </w:pPr>
            <w:r w:rsidRPr="00AB0C4E">
              <w:rPr>
                <w:rFonts w:cstheme="minorHAnsi"/>
                <w:snapToGrid w:val="0"/>
                <w:lang w:val="en-GB"/>
              </w:rPr>
              <w:t xml:space="preserve">The cash flows were discounted at a rate of 9.5%, which reflects the time value of money and risks specific </w:t>
            </w:r>
            <w:r w:rsidR="00273EE3" w:rsidRPr="00AB0C4E">
              <w:rPr>
                <w:rFonts w:cstheme="minorHAnsi"/>
                <w:snapToGrid w:val="0"/>
                <w:lang w:val="en-GB"/>
              </w:rPr>
              <w:t>to the Company’s</w:t>
            </w:r>
            <w:r w:rsidRPr="00AB0C4E">
              <w:rPr>
                <w:rFonts w:cstheme="minorHAnsi"/>
                <w:snapToGrid w:val="0"/>
                <w:lang w:val="en-GB"/>
              </w:rPr>
              <w:t xml:space="preserve"> industry, which were not reflected in the value in use cash flows.  </w:t>
            </w:r>
          </w:p>
          <w:p w14:paraId="66CFE98D" w14:textId="77777777" w:rsidR="003C7148" w:rsidRPr="00AB0C4E" w:rsidRDefault="003C7148" w:rsidP="00273EE3">
            <w:pPr>
              <w:rPr>
                <w:rFonts w:cstheme="minorHAnsi"/>
                <w:snapToGrid w:val="0"/>
                <w:lang w:val="en-GB"/>
              </w:rPr>
            </w:pPr>
          </w:p>
          <w:p w14:paraId="513FC693" w14:textId="1CBF5107" w:rsidR="003C7148" w:rsidRPr="00AB0C4E" w:rsidRDefault="003C7148" w:rsidP="00273EE3">
            <w:pPr>
              <w:rPr>
                <w:rFonts w:cstheme="minorHAnsi"/>
                <w:snapToGrid w:val="0"/>
                <w:lang w:val="en-GB"/>
              </w:rPr>
            </w:pPr>
            <w:r w:rsidRPr="00AB0C4E">
              <w:rPr>
                <w:rFonts w:cstheme="minorHAnsi"/>
                <w:snapToGrid w:val="0"/>
                <w:lang w:val="en-GB"/>
              </w:rPr>
              <w:t xml:space="preserve">Due to </w:t>
            </w:r>
            <w:proofErr w:type="spellStart"/>
            <w:r w:rsidRPr="00AB0C4E">
              <w:rPr>
                <w:rFonts w:cstheme="minorHAnsi"/>
                <w:snapToGrid w:val="0"/>
                <w:lang w:val="en-GB"/>
              </w:rPr>
              <w:t>GTSE’s</w:t>
            </w:r>
            <w:proofErr w:type="spellEnd"/>
            <w:r w:rsidRPr="00AB0C4E">
              <w:rPr>
                <w:rFonts w:cstheme="minorHAnsi"/>
                <w:snapToGrid w:val="0"/>
                <w:lang w:val="en-GB"/>
              </w:rPr>
              <w:t xml:space="preserve"> focus on sporting goods, including products that have experienced the sharpest decline in demand due to social distancing requirements, the carrying amount of </w:t>
            </w:r>
            <w:proofErr w:type="spellStart"/>
            <w:r w:rsidRPr="00AB0C4E">
              <w:rPr>
                <w:rFonts w:cstheme="minorHAnsi"/>
                <w:snapToGrid w:val="0"/>
                <w:lang w:val="en-GB"/>
              </w:rPr>
              <w:t>GTSE’s</w:t>
            </w:r>
            <w:proofErr w:type="spellEnd"/>
            <w:r w:rsidRPr="00AB0C4E">
              <w:rPr>
                <w:rFonts w:cstheme="minorHAnsi"/>
                <w:snapToGrid w:val="0"/>
                <w:lang w:val="en-GB"/>
              </w:rPr>
              <w:t xml:space="preserve"> stores exceeded their recoverable amount. </w:t>
            </w:r>
            <w:r w:rsidR="00BD1C3E">
              <w:rPr>
                <w:rFonts w:cstheme="minorHAnsi"/>
                <w:snapToGrid w:val="0"/>
                <w:lang w:val="en-GB"/>
              </w:rPr>
              <w:t xml:space="preserve">As goodwill has been allocated to the group of </w:t>
            </w:r>
            <w:proofErr w:type="spellStart"/>
            <w:r w:rsidR="00BD1C3E">
              <w:rPr>
                <w:rFonts w:cstheme="minorHAnsi"/>
                <w:snapToGrid w:val="0"/>
                <w:lang w:val="en-GB"/>
              </w:rPr>
              <w:t>GTSE</w:t>
            </w:r>
            <w:proofErr w:type="spellEnd"/>
            <w:r w:rsidR="00BD1C3E">
              <w:rPr>
                <w:rFonts w:cstheme="minorHAnsi"/>
                <w:snapToGrid w:val="0"/>
                <w:lang w:val="en-GB"/>
              </w:rPr>
              <w:t xml:space="preserve"> CGUs</w:t>
            </w:r>
            <w:r w:rsidR="00C625AB">
              <w:rPr>
                <w:rFonts w:cstheme="minorHAnsi"/>
                <w:snapToGrid w:val="0"/>
                <w:lang w:val="en-GB"/>
              </w:rPr>
              <w:t xml:space="preserve"> rather than each </w:t>
            </w:r>
            <w:proofErr w:type="spellStart"/>
            <w:r w:rsidR="00C625AB">
              <w:rPr>
                <w:rFonts w:cstheme="minorHAnsi"/>
                <w:snapToGrid w:val="0"/>
                <w:lang w:val="en-GB"/>
              </w:rPr>
              <w:t>GTSE</w:t>
            </w:r>
            <w:proofErr w:type="spellEnd"/>
            <w:r w:rsidR="00C625AB">
              <w:rPr>
                <w:rFonts w:cstheme="minorHAnsi"/>
                <w:snapToGrid w:val="0"/>
                <w:lang w:val="en-GB"/>
              </w:rPr>
              <w:t xml:space="preserve"> CGU individually,</w:t>
            </w:r>
            <w:r w:rsidRPr="00AB0C4E">
              <w:rPr>
                <w:rFonts w:cstheme="minorHAnsi"/>
                <w:snapToGrid w:val="0"/>
                <w:lang w:val="en-GB"/>
              </w:rPr>
              <w:t xml:space="preserve"> impairment </w:t>
            </w:r>
            <w:r w:rsidR="00C625AB">
              <w:rPr>
                <w:rFonts w:cstheme="minorHAnsi"/>
                <w:snapToGrid w:val="0"/>
                <w:lang w:val="en-GB"/>
              </w:rPr>
              <w:t xml:space="preserve">has first been </w:t>
            </w:r>
            <w:r w:rsidRPr="00AB0C4E">
              <w:rPr>
                <w:rFonts w:cstheme="minorHAnsi"/>
                <w:snapToGrid w:val="0"/>
                <w:lang w:val="en-GB"/>
              </w:rPr>
              <w:t xml:space="preserve">recorded proportionately to </w:t>
            </w:r>
            <w:proofErr w:type="spellStart"/>
            <w:r w:rsidRPr="00AB0C4E">
              <w:rPr>
                <w:rFonts w:cstheme="minorHAnsi"/>
                <w:snapToGrid w:val="0"/>
                <w:lang w:val="en-GB"/>
              </w:rPr>
              <w:t>GTSE’s</w:t>
            </w:r>
            <w:proofErr w:type="spellEnd"/>
            <w:r w:rsidRPr="00AB0C4E">
              <w:rPr>
                <w:rFonts w:cstheme="minorHAnsi"/>
                <w:snapToGrid w:val="0"/>
                <w:lang w:val="en-GB"/>
              </w:rPr>
              <w:t xml:space="preserve"> </w:t>
            </w:r>
            <w:r w:rsidR="00C625AB">
              <w:rPr>
                <w:rFonts w:cstheme="minorHAnsi"/>
                <w:snapToGrid w:val="0"/>
                <w:lang w:val="en-GB"/>
              </w:rPr>
              <w:t>store</w:t>
            </w:r>
            <w:r w:rsidR="00C625AB" w:rsidRPr="00AB0C4E">
              <w:rPr>
                <w:rFonts w:cstheme="minorHAnsi"/>
                <w:snapToGrid w:val="0"/>
                <w:lang w:val="en-GB"/>
              </w:rPr>
              <w:t xml:space="preserve"> </w:t>
            </w:r>
            <w:r w:rsidRPr="00AB0C4E">
              <w:rPr>
                <w:rFonts w:cstheme="minorHAnsi"/>
                <w:snapToGrid w:val="0"/>
                <w:lang w:val="en-GB"/>
              </w:rPr>
              <w:t>assets, which consisted primary of right-of-use assets for store locations and allocations of corporate assets (e.g. head office right-of-use assets, including office space and leased IT infrastructure)</w:t>
            </w:r>
            <w:r w:rsidR="00C625AB">
              <w:rPr>
                <w:rFonts w:cstheme="minorHAnsi"/>
                <w:snapToGrid w:val="0"/>
                <w:lang w:val="en-GB"/>
              </w:rPr>
              <w:t xml:space="preserve"> and then to</w:t>
            </w:r>
            <w:r w:rsidR="00C625AB" w:rsidRPr="00AB0C4E">
              <w:rPr>
                <w:rFonts w:cstheme="minorHAnsi"/>
                <w:snapToGrid w:val="0"/>
                <w:lang w:val="en-GB"/>
              </w:rPr>
              <w:t xml:space="preserve"> the carrying amount of goodwill </w:t>
            </w:r>
            <w:r w:rsidR="00C625AB">
              <w:rPr>
                <w:rFonts w:cstheme="minorHAnsi"/>
                <w:snapToGrid w:val="0"/>
                <w:lang w:val="en-GB"/>
              </w:rPr>
              <w:t>allocated to</w:t>
            </w:r>
            <w:r w:rsidR="00C625AB" w:rsidRPr="00AB0C4E">
              <w:rPr>
                <w:rFonts w:cstheme="minorHAnsi"/>
                <w:snapToGrid w:val="0"/>
                <w:lang w:val="en-GB"/>
              </w:rPr>
              <w:t xml:space="preserve"> </w:t>
            </w:r>
            <w:r w:rsidR="00C625AB">
              <w:rPr>
                <w:rFonts w:cstheme="minorHAnsi"/>
                <w:snapToGrid w:val="0"/>
                <w:lang w:val="en-GB"/>
              </w:rPr>
              <w:t>the group of CGUs</w:t>
            </w:r>
            <w:r w:rsidRPr="00AB0C4E">
              <w:rPr>
                <w:rFonts w:cstheme="minorHAnsi"/>
                <w:snapToGrid w:val="0"/>
                <w:lang w:val="en-GB"/>
              </w:rPr>
              <w:t xml:space="preserve">. </w:t>
            </w:r>
          </w:p>
          <w:p w14:paraId="16B1D504" w14:textId="77777777" w:rsidR="003C7148" w:rsidRPr="00AB0C4E" w:rsidRDefault="003C7148" w:rsidP="00273EE3">
            <w:pPr>
              <w:rPr>
                <w:rFonts w:cstheme="minorHAnsi"/>
                <w:snapToGrid w:val="0"/>
                <w:lang w:val="en-GB"/>
              </w:rPr>
            </w:pPr>
          </w:p>
          <w:p w14:paraId="3F45A53D" w14:textId="77777777" w:rsidR="003C7148" w:rsidRPr="00AB0C4E" w:rsidRDefault="003C7148" w:rsidP="00273EE3">
            <w:pPr>
              <w:rPr>
                <w:rFonts w:cstheme="minorHAnsi"/>
                <w:snapToGrid w:val="0"/>
                <w:lang w:val="en-GB"/>
              </w:rPr>
            </w:pPr>
            <w:r w:rsidRPr="00AB0C4E">
              <w:rPr>
                <w:rFonts w:cstheme="minorHAnsi"/>
                <w:snapToGrid w:val="0"/>
                <w:lang w:val="en-GB"/>
              </w:rPr>
              <w:t xml:space="preserve">The impairment of </w:t>
            </w:r>
            <w:proofErr w:type="spellStart"/>
            <w:r w:rsidRPr="00AB0C4E">
              <w:rPr>
                <w:rFonts w:cstheme="minorHAnsi"/>
                <w:snapToGrid w:val="0"/>
                <w:lang w:val="en-GB"/>
              </w:rPr>
              <w:t>GTSE’s</w:t>
            </w:r>
            <w:proofErr w:type="spellEnd"/>
            <w:r w:rsidRPr="00AB0C4E">
              <w:rPr>
                <w:rFonts w:cstheme="minorHAnsi"/>
                <w:snapToGrid w:val="0"/>
                <w:lang w:val="en-GB"/>
              </w:rPr>
              <w:t xml:space="preserve"> assets is summarised as follows:</w:t>
            </w:r>
          </w:p>
          <w:p w14:paraId="6DE0E422" w14:textId="77777777" w:rsidR="003C7148" w:rsidRPr="00AB0C4E" w:rsidRDefault="003C7148" w:rsidP="003C7148">
            <w:pPr>
              <w:ind w:left="540"/>
              <w:rPr>
                <w:rFonts w:cstheme="minorHAnsi"/>
                <w:snapToGrid w:val="0"/>
                <w:lang w:val="en-GB"/>
              </w:rPr>
            </w:pPr>
          </w:p>
          <w:p w14:paraId="679CD76C" w14:textId="5DCFE912" w:rsidR="003C7148" w:rsidRPr="00AB0C4E" w:rsidRDefault="00040970" w:rsidP="003C7148">
            <w:pPr>
              <w:ind w:left="142"/>
              <w:rPr>
                <w:rFonts w:cstheme="minorHAnsi"/>
                <w:snapToGrid w:val="0"/>
                <w:lang w:val="en-GB"/>
              </w:rPr>
            </w:pPr>
            <w:r w:rsidRPr="00040970">
              <w:rPr>
                <w:rFonts w:cstheme="minorHAnsi"/>
                <w:noProof/>
                <w:snapToGrid w:val="0"/>
                <w:lang w:val="en-GB"/>
              </w:rPr>
              <w:drawing>
                <wp:inline distT="0" distB="0" distL="0" distR="0" wp14:anchorId="36EABEFE" wp14:editId="063B62B8">
                  <wp:extent cx="5987333" cy="13400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09162" cy="1344949"/>
                          </a:xfrm>
                          <a:prstGeom prst="rect">
                            <a:avLst/>
                          </a:prstGeom>
                        </pic:spPr>
                      </pic:pic>
                    </a:graphicData>
                  </a:graphic>
                </wp:inline>
              </w:drawing>
            </w:r>
          </w:p>
          <w:p w14:paraId="070139CE" w14:textId="77777777" w:rsidR="003C7148" w:rsidRPr="00AB0C4E" w:rsidRDefault="003C7148" w:rsidP="003C7148">
            <w:pPr>
              <w:ind w:left="540"/>
              <w:rPr>
                <w:rFonts w:cstheme="minorHAnsi"/>
                <w:snapToGrid w:val="0"/>
                <w:lang w:val="en-GB"/>
              </w:rPr>
            </w:pPr>
          </w:p>
          <w:p w14:paraId="55135912" w14:textId="16023329" w:rsidR="003C7148" w:rsidRPr="00AB0C4E" w:rsidRDefault="003C7148" w:rsidP="00273EE3">
            <w:pPr>
              <w:rPr>
                <w:rFonts w:cstheme="minorHAnsi"/>
                <w:snapToGrid w:val="0"/>
                <w:lang w:val="en-GB"/>
              </w:rPr>
            </w:pPr>
            <w:r w:rsidRPr="00AB0C4E">
              <w:rPr>
                <w:rFonts w:cstheme="minorHAnsi"/>
                <w:snapToGrid w:val="0"/>
                <w:lang w:val="en-GB"/>
              </w:rPr>
              <w:t xml:space="preserve">The recoverable amount exceeded the carrying amount for </w:t>
            </w:r>
            <w:r w:rsidR="00273EE3" w:rsidRPr="00AB0C4E">
              <w:rPr>
                <w:rFonts w:cstheme="minorHAnsi"/>
                <w:snapToGrid w:val="0"/>
                <w:lang w:val="en-GB"/>
              </w:rPr>
              <w:t>the Company’s</w:t>
            </w:r>
            <w:r w:rsidRPr="00AB0C4E">
              <w:rPr>
                <w:rFonts w:cstheme="minorHAnsi"/>
                <w:snapToGrid w:val="0"/>
                <w:lang w:val="en-GB"/>
              </w:rPr>
              <w:t xml:space="preserve"> other cash generating units, however, as the carrying amount of goodwill allocated to </w:t>
            </w:r>
            <w:r w:rsidR="006261DD" w:rsidRPr="00AB0C4E">
              <w:rPr>
                <w:rFonts w:cstheme="minorHAnsi"/>
                <w:snapToGrid w:val="0"/>
                <w:lang w:val="en-GB"/>
              </w:rPr>
              <w:t>Z Layout branded</w:t>
            </w:r>
            <w:r w:rsidRPr="00AB0C4E">
              <w:rPr>
                <w:rFonts w:cstheme="minorHAnsi"/>
                <w:snapToGrid w:val="0"/>
                <w:lang w:val="en-GB"/>
              </w:rPr>
              <w:t xml:space="preserve"> retail locations is significant in comparison with </w:t>
            </w:r>
            <w:r w:rsidR="006261DD" w:rsidRPr="00AB0C4E">
              <w:rPr>
                <w:rFonts w:cstheme="minorHAnsi"/>
                <w:snapToGrid w:val="0"/>
                <w:lang w:val="en-GB"/>
              </w:rPr>
              <w:t>the Company’s</w:t>
            </w:r>
            <w:r w:rsidRPr="00AB0C4E">
              <w:rPr>
                <w:rFonts w:cstheme="minorHAnsi"/>
                <w:snapToGrid w:val="0"/>
                <w:lang w:val="en-GB"/>
              </w:rPr>
              <w:t xml:space="preserve"> total carrying amount of goodwill, the following information about the </w:t>
            </w:r>
            <w:r w:rsidR="006261DD" w:rsidRPr="00AB0C4E">
              <w:rPr>
                <w:rFonts w:cstheme="minorHAnsi"/>
                <w:snapToGrid w:val="0"/>
                <w:lang w:val="en-GB"/>
              </w:rPr>
              <w:t>Z Layout branded</w:t>
            </w:r>
            <w:r w:rsidRPr="00AB0C4E">
              <w:rPr>
                <w:rFonts w:cstheme="minorHAnsi"/>
                <w:snapToGrid w:val="0"/>
                <w:lang w:val="en-GB"/>
              </w:rPr>
              <w:t xml:space="preserve"> retail locations is disclosed:</w:t>
            </w:r>
          </w:p>
          <w:p w14:paraId="624CDB15" w14:textId="77777777" w:rsidR="003C7148" w:rsidRPr="00AB0C4E" w:rsidRDefault="003C7148" w:rsidP="003C7148">
            <w:pPr>
              <w:ind w:left="540"/>
              <w:rPr>
                <w:rFonts w:cstheme="minorHAnsi"/>
                <w:snapToGrid w:val="0"/>
                <w:lang w:val="en-GB"/>
              </w:rPr>
            </w:pPr>
          </w:p>
          <w:p w14:paraId="397DA2C6" w14:textId="0872ABE7" w:rsidR="003C7148" w:rsidRPr="00AB0C4E" w:rsidRDefault="003C7148" w:rsidP="003C7148">
            <w:pPr>
              <w:pStyle w:val="ListParagraph"/>
              <w:numPr>
                <w:ilvl w:val="0"/>
                <w:numId w:val="37"/>
              </w:numPr>
              <w:contextualSpacing/>
              <w:rPr>
                <w:rFonts w:cstheme="minorHAnsi"/>
                <w:snapToGrid w:val="0"/>
              </w:rPr>
            </w:pPr>
            <w:r w:rsidRPr="00AB0C4E">
              <w:rPr>
                <w:rFonts w:cstheme="minorHAnsi"/>
                <w:snapToGrid w:val="0"/>
              </w:rPr>
              <w:t>The carrying value of goodwill allocated is CU 1,250</w:t>
            </w:r>
            <w:r w:rsidR="00273EE3" w:rsidRPr="00AB0C4E">
              <w:rPr>
                <w:rFonts w:cstheme="minorHAnsi"/>
                <w:snapToGrid w:val="0"/>
              </w:rPr>
              <w:t>,000</w:t>
            </w:r>
            <w:r w:rsidRPr="00AB0C4E">
              <w:rPr>
                <w:rFonts w:cstheme="minorHAnsi"/>
                <w:snapToGrid w:val="0"/>
              </w:rPr>
              <w:t>.</w:t>
            </w:r>
          </w:p>
          <w:p w14:paraId="23DA6038" w14:textId="77777777" w:rsidR="003C7148" w:rsidRPr="00AB0C4E" w:rsidRDefault="003C7148" w:rsidP="003C7148">
            <w:pPr>
              <w:pStyle w:val="ListParagraph"/>
              <w:numPr>
                <w:ilvl w:val="0"/>
                <w:numId w:val="37"/>
              </w:numPr>
              <w:contextualSpacing/>
              <w:rPr>
                <w:rFonts w:cstheme="minorHAnsi"/>
                <w:snapToGrid w:val="0"/>
              </w:rPr>
            </w:pPr>
            <w:r w:rsidRPr="00AB0C4E">
              <w:rPr>
                <w:rFonts w:cstheme="minorHAnsi"/>
                <w:snapToGrid w:val="0"/>
              </w:rPr>
              <w:t>The recoverable amount was determined based on value in use, which utilises current budgets and cash flow projections as noted above, with the discount rate disclosed above.</w:t>
            </w:r>
          </w:p>
          <w:p w14:paraId="0BAA1977" w14:textId="1AB4456E" w:rsidR="003C7148" w:rsidRPr="00AB0C4E" w:rsidRDefault="003C7148" w:rsidP="003C7148">
            <w:pPr>
              <w:pStyle w:val="ListParagraph"/>
              <w:numPr>
                <w:ilvl w:val="0"/>
                <w:numId w:val="37"/>
              </w:numPr>
              <w:contextualSpacing/>
              <w:rPr>
                <w:rFonts w:cstheme="minorHAnsi"/>
                <w:snapToGrid w:val="0"/>
              </w:rPr>
            </w:pPr>
            <w:r w:rsidRPr="00AB0C4E">
              <w:rPr>
                <w:rFonts w:cstheme="minorHAnsi"/>
                <w:snapToGrid w:val="0"/>
              </w:rPr>
              <w:t>The amount by which the recoverable amount exceeded the total carrying value (‘headroom’) is CU1,137</w:t>
            </w:r>
            <w:r w:rsidR="00273EE3" w:rsidRPr="00AB0C4E">
              <w:rPr>
                <w:rFonts w:cstheme="minorHAnsi"/>
                <w:snapToGrid w:val="0"/>
              </w:rPr>
              <w:t>,000</w:t>
            </w:r>
            <w:r w:rsidRPr="00AB0C4E">
              <w:rPr>
                <w:rFonts w:cstheme="minorHAnsi"/>
                <w:snapToGrid w:val="0"/>
              </w:rPr>
              <w:t>.</w:t>
            </w:r>
          </w:p>
          <w:p w14:paraId="6DCA4B3A" w14:textId="042C804B" w:rsidR="007B74D9" w:rsidRPr="00E34B15" w:rsidRDefault="007B74D9" w:rsidP="007B74D9">
            <w:pPr>
              <w:rPr>
                <w:rFonts w:cstheme="minorHAnsi"/>
                <w:i/>
                <w:iCs/>
                <w:snapToGrid w:val="0"/>
                <w:lang w:val="en-GB"/>
              </w:rPr>
            </w:pPr>
            <w:r w:rsidRPr="004263B7">
              <w:rPr>
                <w:rFonts w:cstheme="minorHAnsi"/>
                <w:i/>
                <w:iCs/>
                <w:snapToGrid w:val="0"/>
                <w:lang w:val="en-GB"/>
              </w:rPr>
              <w:lastRenderedPageBreak/>
              <w:t>(Continued…)</w:t>
            </w:r>
          </w:p>
          <w:p w14:paraId="5B46F93B" w14:textId="77777777" w:rsidR="007B74D9" w:rsidRPr="007B74D9" w:rsidRDefault="007B74D9" w:rsidP="00E34B15">
            <w:pPr>
              <w:contextualSpacing/>
              <w:rPr>
                <w:rFonts w:cstheme="minorHAnsi"/>
                <w:snapToGrid w:val="0"/>
              </w:rPr>
            </w:pPr>
          </w:p>
          <w:p w14:paraId="179FAAE5" w14:textId="08C0F6D7" w:rsidR="003C7148" w:rsidRPr="00AB0C4E" w:rsidRDefault="003C7148" w:rsidP="003C7148">
            <w:pPr>
              <w:pStyle w:val="ListParagraph"/>
              <w:numPr>
                <w:ilvl w:val="0"/>
                <w:numId w:val="37"/>
              </w:numPr>
              <w:contextualSpacing/>
              <w:rPr>
                <w:rFonts w:cstheme="minorHAnsi"/>
                <w:snapToGrid w:val="0"/>
              </w:rPr>
            </w:pPr>
            <w:r w:rsidRPr="00AB0C4E">
              <w:rPr>
                <w:rFonts w:cstheme="minorHAnsi"/>
                <w:snapToGrid w:val="0"/>
              </w:rPr>
              <w:t>The amount by which the values assigned to key assumptions must change for the recoverable amount to be equal to the carrying value are (independent of one another):</w:t>
            </w:r>
          </w:p>
          <w:p w14:paraId="636BE3AA" w14:textId="77777777" w:rsidR="003C7148" w:rsidRPr="00AB0C4E" w:rsidRDefault="003C7148" w:rsidP="003C7148">
            <w:pPr>
              <w:pStyle w:val="ListParagraph"/>
              <w:numPr>
                <w:ilvl w:val="1"/>
                <w:numId w:val="37"/>
              </w:numPr>
              <w:contextualSpacing/>
              <w:rPr>
                <w:rFonts w:cstheme="minorHAnsi"/>
                <w:snapToGrid w:val="0"/>
              </w:rPr>
            </w:pPr>
            <w:r w:rsidRPr="00AB0C4E">
              <w:rPr>
                <w:rFonts w:cstheme="minorHAnsi"/>
                <w:snapToGrid w:val="0"/>
              </w:rPr>
              <w:t>Increase in discount rate from 9.5% to 14%; or</w:t>
            </w:r>
          </w:p>
          <w:p w14:paraId="3D09CDBF" w14:textId="77777777" w:rsidR="003C7148" w:rsidRPr="00AB0C4E" w:rsidRDefault="003C7148" w:rsidP="003C7148">
            <w:pPr>
              <w:pStyle w:val="ListParagraph"/>
              <w:numPr>
                <w:ilvl w:val="1"/>
                <w:numId w:val="37"/>
              </w:numPr>
              <w:contextualSpacing/>
              <w:rPr>
                <w:rFonts w:cstheme="minorHAnsi"/>
                <w:snapToGrid w:val="0"/>
              </w:rPr>
            </w:pPr>
            <w:r w:rsidRPr="00AB0C4E">
              <w:rPr>
                <w:rFonts w:cstheme="minorHAnsi"/>
                <w:snapToGrid w:val="0"/>
              </w:rPr>
              <w:t>Adjustment in the assumptions used in the base case (i.e. the most likely case) cash flow scenario from (</w:t>
            </w:r>
            <w:proofErr w:type="spellStart"/>
            <w:r w:rsidRPr="00AB0C4E">
              <w:rPr>
                <w:rFonts w:cstheme="minorHAnsi"/>
                <w:snapToGrid w:val="0"/>
              </w:rPr>
              <w:t>i</w:t>
            </w:r>
            <w:proofErr w:type="spellEnd"/>
            <w:r w:rsidRPr="00AB0C4E">
              <w:rPr>
                <w:rFonts w:cstheme="minorHAnsi"/>
                <w:snapToGrid w:val="0"/>
              </w:rPr>
              <w:t xml:space="preserve">) to (ii): </w:t>
            </w:r>
          </w:p>
          <w:p w14:paraId="3C26DBD3" w14:textId="44742881" w:rsidR="003C7148" w:rsidRPr="00AB0C4E" w:rsidRDefault="0045784D" w:rsidP="003C7148">
            <w:pPr>
              <w:pStyle w:val="ListParagraph"/>
              <w:numPr>
                <w:ilvl w:val="0"/>
                <w:numId w:val="38"/>
              </w:numPr>
              <w:ind w:left="2694" w:hanging="425"/>
              <w:contextualSpacing/>
              <w:rPr>
                <w:rFonts w:cstheme="minorHAnsi"/>
                <w:snapToGrid w:val="0"/>
              </w:rPr>
            </w:pPr>
            <w:r w:rsidRPr="00AB0C4E">
              <w:rPr>
                <w:rFonts w:cstheme="minorHAnsi"/>
                <w:snapToGrid w:val="0"/>
              </w:rPr>
              <w:t>16</w:t>
            </w:r>
            <w:r w:rsidR="003C7148" w:rsidRPr="00AB0C4E">
              <w:rPr>
                <w:rFonts w:cstheme="minorHAnsi"/>
                <w:snapToGrid w:val="0"/>
              </w:rPr>
              <w:t xml:space="preserve"> weeks of closures and return to pre-pandemic consumer demand in </w:t>
            </w:r>
            <w:r w:rsidRPr="00AB0C4E">
              <w:rPr>
                <w:rFonts w:cstheme="minorHAnsi"/>
                <w:snapToGrid w:val="0"/>
              </w:rPr>
              <w:t>September</w:t>
            </w:r>
            <w:r w:rsidR="003C7148" w:rsidRPr="00AB0C4E">
              <w:rPr>
                <w:rFonts w:cstheme="minorHAnsi"/>
                <w:snapToGrid w:val="0"/>
              </w:rPr>
              <w:t xml:space="preserve"> 2021;</w:t>
            </w:r>
          </w:p>
          <w:p w14:paraId="2DC8086B" w14:textId="579E3852" w:rsidR="000C1E9D" w:rsidRPr="00AB0C4E" w:rsidRDefault="0045784D" w:rsidP="003C7148">
            <w:pPr>
              <w:pStyle w:val="ListParagraph"/>
              <w:numPr>
                <w:ilvl w:val="0"/>
                <w:numId w:val="38"/>
              </w:numPr>
              <w:ind w:left="2694" w:hanging="425"/>
              <w:contextualSpacing/>
              <w:rPr>
                <w:rFonts w:cstheme="minorHAnsi"/>
                <w:snapToGrid w:val="0"/>
              </w:rPr>
            </w:pPr>
            <w:r w:rsidRPr="00AB0C4E">
              <w:rPr>
                <w:rFonts w:cstheme="minorHAnsi"/>
                <w:snapToGrid w:val="0"/>
              </w:rPr>
              <w:t>32</w:t>
            </w:r>
            <w:r w:rsidR="003C7148" w:rsidRPr="00AB0C4E">
              <w:rPr>
                <w:rFonts w:cstheme="minorHAnsi"/>
                <w:snapToGrid w:val="0"/>
              </w:rPr>
              <w:t xml:space="preserve"> weeks of closures and return to pre-pandemic consumer demand in </w:t>
            </w:r>
            <w:r w:rsidRPr="00AB0C4E">
              <w:rPr>
                <w:rFonts w:cstheme="minorHAnsi"/>
                <w:snapToGrid w:val="0"/>
              </w:rPr>
              <w:t>December</w:t>
            </w:r>
            <w:r w:rsidR="003C7148" w:rsidRPr="00AB0C4E">
              <w:rPr>
                <w:rFonts w:cstheme="minorHAnsi"/>
                <w:snapToGrid w:val="0"/>
              </w:rPr>
              <w:t xml:space="preserve"> 2021. </w:t>
            </w:r>
          </w:p>
        </w:tc>
      </w:tr>
      <w:tr w:rsidR="000C1E9D" w:rsidRPr="00AB0C4E" w14:paraId="352DF9F7" w14:textId="77777777" w:rsidTr="001F50DB">
        <w:tc>
          <w:tcPr>
            <w:tcW w:w="1469" w:type="dxa"/>
            <w:shd w:val="clear" w:color="auto" w:fill="FFFFFF" w:themeFill="background1"/>
          </w:tcPr>
          <w:p w14:paraId="5400929E" w14:textId="77777777" w:rsidR="000C1E9D" w:rsidRPr="00AB0C4E" w:rsidRDefault="000C1E9D" w:rsidP="001F50DB">
            <w:pPr>
              <w:jc w:val="right"/>
              <w:rPr>
                <w:lang w:val="en-GB"/>
              </w:rPr>
            </w:pPr>
          </w:p>
        </w:tc>
        <w:tc>
          <w:tcPr>
            <w:tcW w:w="12524" w:type="dxa"/>
            <w:shd w:val="clear" w:color="auto" w:fill="FFFFFF" w:themeFill="background1"/>
          </w:tcPr>
          <w:p w14:paraId="3505A8EA" w14:textId="3BEA6351" w:rsidR="000C1E9D" w:rsidRPr="00AB0C4E" w:rsidRDefault="000C1E9D" w:rsidP="001F50DB">
            <w:pPr>
              <w:rPr>
                <w:lang w:val="en-GB"/>
              </w:rPr>
            </w:pPr>
            <w:r w:rsidRPr="00AB0C4E">
              <w:rPr>
                <w:i/>
                <w:iCs/>
                <w:lang w:val="en-GB"/>
              </w:rPr>
              <w:t xml:space="preserve">Analysis: </w:t>
            </w:r>
            <w:r w:rsidR="00785691" w:rsidRPr="00AB0C4E">
              <w:rPr>
                <w:i/>
                <w:iCs/>
                <w:lang w:val="en-GB"/>
              </w:rPr>
              <w:t xml:space="preserve">as impairment was recorded relating to the </w:t>
            </w:r>
            <w:proofErr w:type="spellStart"/>
            <w:r w:rsidR="00785691" w:rsidRPr="00AB0C4E">
              <w:rPr>
                <w:i/>
                <w:iCs/>
                <w:lang w:val="en-GB"/>
              </w:rPr>
              <w:t>GTSE</w:t>
            </w:r>
            <w:proofErr w:type="spellEnd"/>
            <w:r w:rsidR="00785691" w:rsidRPr="00AB0C4E">
              <w:rPr>
                <w:i/>
                <w:iCs/>
                <w:lang w:val="en-GB"/>
              </w:rPr>
              <w:t xml:space="preserve"> group of cash-generating units, significant disclosures are required by IAS 36. Regardless of whether impairment was recorded, IAS 36.134-135 requires significant disclosures for determining the recoverable amount of cash-generating units containing goodwill or intangible assets with indefinite useful lives. Therefore, even if the </w:t>
            </w:r>
            <w:proofErr w:type="spellStart"/>
            <w:r w:rsidR="00785691" w:rsidRPr="00AB0C4E">
              <w:rPr>
                <w:i/>
                <w:iCs/>
                <w:lang w:val="en-GB"/>
              </w:rPr>
              <w:t>GTSE</w:t>
            </w:r>
            <w:proofErr w:type="spellEnd"/>
            <w:r w:rsidR="00785691" w:rsidRPr="00AB0C4E">
              <w:rPr>
                <w:i/>
                <w:iCs/>
                <w:lang w:val="en-GB"/>
              </w:rPr>
              <w:t xml:space="preserve"> group of cash-generating units had not been partially impaired, all disclosures required by IAS 36.134-135 would have still been required.</w:t>
            </w:r>
            <w:r w:rsidR="00664AB4" w:rsidRPr="00AB0C4E">
              <w:rPr>
                <w:i/>
                <w:iCs/>
                <w:lang w:val="en-GB"/>
              </w:rPr>
              <w:t xml:space="preserve"> See scenario B.8(b) below for the disclosures that would have still been required if no impairment was recorded. </w:t>
            </w:r>
          </w:p>
        </w:tc>
      </w:tr>
    </w:tbl>
    <w:p w14:paraId="44B981F5" w14:textId="709EB4EB" w:rsidR="000C1E9D" w:rsidRDefault="000C1E9D" w:rsidP="006E22AC">
      <w:pPr>
        <w:rPr>
          <w:lang w:val="en-GB"/>
        </w:rPr>
      </w:pPr>
    </w:p>
    <w:p w14:paraId="138F9176" w14:textId="77777777" w:rsidR="00AB0097" w:rsidRPr="00AB0C4E" w:rsidRDefault="00AB0097" w:rsidP="006E22AC">
      <w:pPr>
        <w:rPr>
          <w:lang w:val="en-GB"/>
        </w:rPr>
      </w:pPr>
    </w:p>
    <w:tbl>
      <w:tblPr>
        <w:tblStyle w:val="TableGrid"/>
        <w:tblW w:w="13993" w:type="dxa"/>
        <w:tblLook w:val="04A0" w:firstRow="1" w:lastRow="0" w:firstColumn="1" w:lastColumn="0" w:noHBand="0" w:noVBand="1"/>
      </w:tblPr>
      <w:tblGrid>
        <w:gridCol w:w="13993"/>
      </w:tblGrid>
      <w:tr w:rsidR="00785691" w:rsidRPr="00AB0C4E" w14:paraId="6561A4CB" w14:textId="77777777" w:rsidTr="0008629A">
        <w:tc>
          <w:tcPr>
            <w:tcW w:w="13993" w:type="dxa"/>
            <w:shd w:val="clear" w:color="auto" w:fill="218F8B" w:themeFill="background2"/>
          </w:tcPr>
          <w:p w14:paraId="2C64BC51" w14:textId="680D69C6" w:rsidR="00785691" w:rsidRPr="00AB0C4E" w:rsidRDefault="00785691" w:rsidP="0008629A">
            <w:pPr>
              <w:rPr>
                <w:color w:val="FFFFFF" w:themeColor="background1"/>
                <w:lang w:val="en-GB"/>
              </w:rPr>
            </w:pPr>
            <w:r w:rsidRPr="00AB0C4E">
              <w:rPr>
                <w:color w:val="FFFFFF" w:themeColor="background1"/>
                <w:lang w:val="en-GB"/>
              </w:rPr>
              <w:t xml:space="preserve">B.8(b) – </w:t>
            </w:r>
            <w:r w:rsidR="00606D82" w:rsidRPr="00AB0C4E">
              <w:rPr>
                <w:color w:val="FFFFFF" w:themeColor="background1"/>
                <w:lang w:val="en-GB"/>
              </w:rPr>
              <w:t xml:space="preserve">indicators of impairment exist, however, </w:t>
            </w:r>
            <w:r w:rsidRPr="00AB0C4E">
              <w:rPr>
                <w:color w:val="FFFFFF" w:themeColor="background1"/>
                <w:lang w:val="en-GB"/>
              </w:rPr>
              <w:t>no impairment of assets is recorded</w:t>
            </w:r>
            <w:r w:rsidR="00A60B3F" w:rsidRPr="00AB0C4E">
              <w:rPr>
                <w:color w:val="FFFFFF" w:themeColor="background1"/>
                <w:lang w:val="en-GB"/>
              </w:rPr>
              <w:t xml:space="preserve"> (cash-generating units contain goodwill)</w:t>
            </w:r>
          </w:p>
          <w:p w14:paraId="2F9949CB" w14:textId="77777777" w:rsidR="00785691" w:rsidRPr="00AB0C4E" w:rsidRDefault="00785691" w:rsidP="0008629A">
            <w:pPr>
              <w:rPr>
                <w:color w:val="FFFFFF" w:themeColor="background1"/>
                <w:lang w:val="en-GB"/>
              </w:rPr>
            </w:pPr>
          </w:p>
          <w:p w14:paraId="26B0BD79" w14:textId="2B2E251C" w:rsidR="00785691" w:rsidRPr="00AB0C4E" w:rsidRDefault="00785691" w:rsidP="0008629A">
            <w:pPr>
              <w:rPr>
                <w:color w:val="FFFFFF" w:themeColor="background1"/>
                <w:lang w:val="en-GB"/>
              </w:rPr>
            </w:pPr>
            <w:r w:rsidRPr="00AB0C4E">
              <w:rPr>
                <w:color w:val="FFFFFF" w:themeColor="background1"/>
                <w:lang w:val="en-GB"/>
              </w:rPr>
              <w:t xml:space="preserve">Additional information: the effects of COVID-19 have resulted in decreased sales, which management of Z Layout has identified as an indicator of impairment for its property, plant and equipment, right-of-use assets, goodwill and intangible assets. The impairment test results in the recoverable amount of </w:t>
            </w:r>
            <w:r w:rsidR="00F070C5" w:rsidRPr="00AB0C4E">
              <w:rPr>
                <w:color w:val="FFFFFF" w:themeColor="background1"/>
                <w:lang w:val="en-GB"/>
              </w:rPr>
              <w:t>all</w:t>
            </w:r>
            <w:r w:rsidRPr="00AB0C4E">
              <w:rPr>
                <w:color w:val="FFFFFF" w:themeColor="background1"/>
                <w:lang w:val="en-GB"/>
              </w:rPr>
              <w:t xml:space="preserve"> cash-generating units being </w:t>
            </w:r>
            <w:r w:rsidR="00606D82" w:rsidRPr="00AB0C4E">
              <w:rPr>
                <w:color w:val="FFFFFF" w:themeColor="background1"/>
                <w:lang w:val="en-GB"/>
              </w:rPr>
              <w:t>higher</w:t>
            </w:r>
            <w:r w:rsidRPr="00AB0C4E">
              <w:rPr>
                <w:color w:val="FFFFFF" w:themeColor="background1"/>
                <w:lang w:val="en-GB"/>
              </w:rPr>
              <w:t xml:space="preserve"> than the carrying value</w:t>
            </w:r>
            <w:r w:rsidR="00606D82" w:rsidRPr="00AB0C4E">
              <w:rPr>
                <w:color w:val="FFFFFF" w:themeColor="background1"/>
                <w:lang w:val="en-GB"/>
              </w:rPr>
              <w:t xml:space="preserve"> for all cash-generating units</w:t>
            </w:r>
            <w:r w:rsidR="00554B8C" w:rsidRPr="00AB0C4E">
              <w:rPr>
                <w:color w:val="FFFFFF" w:themeColor="background1"/>
                <w:lang w:val="en-GB"/>
              </w:rPr>
              <w:t>, therefore, no impairment is recorded</w:t>
            </w:r>
            <w:r w:rsidR="00606D82" w:rsidRPr="00AB0C4E">
              <w:rPr>
                <w:color w:val="FFFFFF" w:themeColor="background1"/>
                <w:lang w:val="en-GB"/>
              </w:rPr>
              <w:t>.</w:t>
            </w:r>
            <w:r w:rsidRPr="00AB0C4E">
              <w:rPr>
                <w:color w:val="FFFFFF" w:themeColor="background1"/>
                <w:lang w:val="en-GB"/>
              </w:rPr>
              <w:t xml:space="preserve"> The </w:t>
            </w:r>
            <w:proofErr w:type="spellStart"/>
            <w:r w:rsidR="00606D82" w:rsidRPr="00AB0C4E">
              <w:rPr>
                <w:color w:val="FFFFFF" w:themeColor="background1"/>
                <w:lang w:val="en-GB"/>
              </w:rPr>
              <w:t>GTSE</w:t>
            </w:r>
            <w:proofErr w:type="spellEnd"/>
            <w:r w:rsidR="00606D82" w:rsidRPr="00AB0C4E">
              <w:rPr>
                <w:color w:val="FFFFFF" w:themeColor="background1"/>
                <w:lang w:val="en-GB"/>
              </w:rPr>
              <w:t xml:space="preserve"> group of cash-generating units</w:t>
            </w:r>
            <w:r w:rsidRPr="00AB0C4E">
              <w:rPr>
                <w:color w:val="FFFFFF" w:themeColor="background1"/>
                <w:lang w:val="en-GB"/>
              </w:rPr>
              <w:t xml:space="preserve"> were acquired in a business combination in 2018, and include goodwill arising from that business combination. </w:t>
            </w:r>
          </w:p>
        </w:tc>
      </w:tr>
    </w:tbl>
    <w:tbl>
      <w:tblPr>
        <w:tblStyle w:val="TableGrid2"/>
        <w:tblW w:w="13993" w:type="dxa"/>
        <w:tblLook w:val="04A0" w:firstRow="1" w:lastRow="0" w:firstColumn="1" w:lastColumn="0" w:noHBand="0" w:noVBand="1"/>
      </w:tblPr>
      <w:tblGrid>
        <w:gridCol w:w="1469"/>
        <w:gridCol w:w="12524"/>
      </w:tblGrid>
      <w:tr w:rsidR="00606D82" w:rsidRPr="00AB0C4E" w14:paraId="3AED78EE" w14:textId="77777777" w:rsidTr="0008629A">
        <w:tc>
          <w:tcPr>
            <w:tcW w:w="1469" w:type="dxa"/>
            <w:shd w:val="clear" w:color="auto" w:fill="657C91" w:themeFill="accent4"/>
          </w:tcPr>
          <w:p w14:paraId="7A515448" w14:textId="77777777" w:rsidR="00606D82" w:rsidRPr="00AB0C4E" w:rsidRDefault="00606D82" w:rsidP="0008629A">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1D1B49DE" w14:textId="77777777" w:rsidR="00606D82" w:rsidRPr="00AB0C4E" w:rsidRDefault="00606D82" w:rsidP="0008629A">
            <w:pPr>
              <w:rPr>
                <w:color w:val="FFFFFF" w:themeColor="background1"/>
                <w:lang w:val="en-GB"/>
              </w:rPr>
            </w:pPr>
            <w:r w:rsidRPr="00AB0C4E">
              <w:rPr>
                <w:color w:val="FFFFFF" w:themeColor="background1"/>
                <w:lang w:val="en-GB"/>
              </w:rPr>
              <w:t xml:space="preserve">Illustrative disclosure </w:t>
            </w:r>
          </w:p>
        </w:tc>
      </w:tr>
      <w:tr w:rsidR="00606D82" w:rsidRPr="00AB0C4E" w14:paraId="12A41030" w14:textId="77777777" w:rsidTr="0008629A">
        <w:tc>
          <w:tcPr>
            <w:tcW w:w="1469" w:type="dxa"/>
            <w:shd w:val="clear" w:color="auto" w:fill="FFFFFF" w:themeFill="background1"/>
          </w:tcPr>
          <w:p w14:paraId="4B25411F" w14:textId="257FDEEF" w:rsidR="00606D82" w:rsidRPr="00AB0C4E" w:rsidRDefault="00606D82" w:rsidP="0008629A">
            <w:pPr>
              <w:jc w:val="right"/>
              <w:rPr>
                <w:sz w:val="18"/>
                <w:szCs w:val="18"/>
                <w:lang w:val="en-GB"/>
              </w:rPr>
            </w:pPr>
          </w:p>
          <w:p w14:paraId="35983F81" w14:textId="77777777" w:rsidR="00664AB4" w:rsidRPr="00AB0C4E" w:rsidRDefault="00664AB4" w:rsidP="0008629A">
            <w:pPr>
              <w:jc w:val="right"/>
              <w:rPr>
                <w:sz w:val="18"/>
                <w:szCs w:val="18"/>
                <w:lang w:val="en-GB"/>
              </w:rPr>
            </w:pPr>
          </w:p>
          <w:p w14:paraId="6F4021DE" w14:textId="77777777" w:rsidR="00606D82" w:rsidRPr="00AB0C4E" w:rsidRDefault="00606D82" w:rsidP="0008629A">
            <w:pPr>
              <w:jc w:val="right"/>
              <w:rPr>
                <w:sz w:val="18"/>
                <w:szCs w:val="18"/>
                <w:lang w:val="en-GB"/>
              </w:rPr>
            </w:pPr>
          </w:p>
          <w:p w14:paraId="0A60392A" w14:textId="77777777" w:rsidR="00606D82" w:rsidRPr="00AB0C4E" w:rsidRDefault="00606D82" w:rsidP="0008629A">
            <w:pPr>
              <w:jc w:val="right"/>
              <w:rPr>
                <w:sz w:val="18"/>
                <w:szCs w:val="18"/>
                <w:lang w:val="en-GB"/>
              </w:rPr>
            </w:pPr>
          </w:p>
          <w:p w14:paraId="287DA8F2" w14:textId="77777777" w:rsidR="00606D82" w:rsidRPr="00AB0C4E" w:rsidRDefault="00606D82" w:rsidP="0008629A">
            <w:pPr>
              <w:jc w:val="right"/>
              <w:rPr>
                <w:sz w:val="18"/>
                <w:szCs w:val="18"/>
                <w:lang w:val="en-GB"/>
              </w:rPr>
            </w:pPr>
          </w:p>
          <w:p w14:paraId="77C71797" w14:textId="77777777" w:rsidR="00606D82" w:rsidRPr="00AB0C4E" w:rsidRDefault="00606D82" w:rsidP="0008629A">
            <w:pPr>
              <w:jc w:val="right"/>
              <w:rPr>
                <w:sz w:val="18"/>
                <w:szCs w:val="18"/>
                <w:lang w:val="en-GB"/>
              </w:rPr>
            </w:pPr>
          </w:p>
          <w:p w14:paraId="2BE0E73B" w14:textId="77777777" w:rsidR="00606D82" w:rsidRPr="00AB0C4E" w:rsidRDefault="00606D82" w:rsidP="0008629A">
            <w:pPr>
              <w:jc w:val="right"/>
              <w:rPr>
                <w:sz w:val="18"/>
                <w:szCs w:val="18"/>
                <w:lang w:val="en-GB"/>
              </w:rPr>
            </w:pPr>
          </w:p>
          <w:p w14:paraId="7D4E69EA" w14:textId="2CC9190C" w:rsidR="00606D82" w:rsidRPr="00AB0C4E" w:rsidRDefault="00606D82" w:rsidP="0008629A">
            <w:pPr>
              <w:jc w:val="right"/>
              <w:rPr>
                <w:sz w:val="18"/>
                <w:szCs w:val="18"/>
                <w:lang w:val="en-GB"/>
              </w:rPr>
            </w:pPr>
          </w:p>
          <w:p w14:paraId="39D2AB64" w14:textId="77777777" w:rsidR="00664AB4" w:rsidRPr="00AB0C4E" w:rsidRDefault="00664AB4" w:rsidP="0008629A">
            <w:pPr>
              <w:jc w:val="right"/>
              <w:rPr>
                <w:sz w:val="18"/>
                <w:szCs w:val="18"/>
                <w:lang w:val="en-GB"/>
              </w:rPr>
            </w:pPr>
          </w:p>
          <w:p w14:paraId="4442316A" w14:textId="77777777" w:rsidR="00606D82" w:rsidRPr="00AB0C4E" w:rsidRDefault="00606D82" w:rsidP="0008629A">
            <w:pPr>
              <w:jc w:val="right"/>
              <w:rPr>
                <w:sz w:val="18"/>
                <w:szCs w:val="18"/>
                <w:lang w:val="en-GB"/>
              </w:rPr>
            </w:pPr>
          </w:p>
          <w:p w14:paraId="3A6E8FA4" w14:textId="77777777" w:rsidR="00606D82" w:rsidRPr="00AB0C4E" w:rsidRDefault="00606D82" w:rsidP="0008629A">
            <w:pPr>
              <w:jc w:val="right"/>
              <w:rPr>
                <w:sz w:val="18"/>
                <w:szCs w:val="18"/>
                <w:lang w:val="en-GB"/>
              </w:rPr>
            </w:pPr>
          </w:p>
          <w:p w14:paraId="3E896224" w14:textId="77777777" w:rsidR="00606D82" w:rsidRPr="00AB0C4E" w:rsidRDefault="00606D82" w:rsidP="0008629A">
            <w:pPr>
              <w:jc w:val="right"/>
              <w:rPr>
                <w:sz w:val="18"/>
                <w:szCs w:val="18"/>
                <w:lang w:val="en-GB"/>
              </w:rPr>
            </w:pPr>
          </w:p>
          <w:p w14:paraId="3786D792" w14:textId="77777777" w:rsidR="00606D82" w:rsidRPr="00AB0C4E" w:rsidRDefault="00606D82" w:rsidP="0008629A">
            <w:pPr>
              <w:jc w:val="right"/>
              <w:rPr>
                <w:sz w:val="18"/>
                <w:szCs w:val="18"/>
                <w:lang w:val="en-GB"/>
              </w:rPr>
            </w:pPr>
          </w:p>
          <w:p w14:paraId="4B08C35F" w14:textId="77777777" w:rsidR="00606D82" w:rsidRPr="00AB0C4E" w:rsidRDefault="00606D82" w:rsidP="0008629A">
            <w:pPr>
              <w:jc w:val="right"/>
              <w:rPr>
                <w:sz w:val="18"/>
                <w:szCs w:val="18"/>
                <w:lang w:val="en-GB"/>
              </w:rPr>
            </w:pPr>
          </w:p>
          <w:p w14:paraId="2A3BEA5B" w14:textId="77777777" w:rsidR="00606D82" w:rsidRPr="00AB0C4E" w:rsidRDefault="00606D82" w:rsidP="0008629A">
            <w:pPr>
              <w:jc w:val="right"/>
              <w:rPr>
                <w:sz w:val="18"/>
                <w:szCs w:val="18"/>
                <w:lang w:val="en-GB"/>
              </w:rPr>
            </w:pPr>
          </w:p>
          <w:p w14:paraId="34ADC0EE" w14:textId="77777777" w:rsidR="007B74D9" w:rsidRDefault="007B74D9" w:rsidP="0008629A">
            <w:pPr>
              <w:jc w:val="right"/>
              <w:rPr>
                <w:sz w:val="18"/>
                <w:szCs w:val="18"/>
                <w:lang w:val="en-GB"/>
              </w:rPr>
            </w:pPr>
          </w:p>
          <w:p w14:paraId="4FDAF54D" w14:textId="77777777" w:rsidR="007B74D9" w:rsidRDefault="007B74D9" w:rsidP="0008629A">
            <w:pPr>
              <w:jc w:val="right"/>
              <w:rPr>
                <w:sz w:val="18"/>
                <w:szCs w:val="18"/>
                <w:lang w:val="en-GB"/>
              </w:rPr>
            </w:pPr>
          </w:p>
          <w:p w14:paraId="579A6C8A" w14:textId="1F1A527B" w:rsidR="00606D82" w:rsidRPr="00AB0C4E" w:rsidRDefault="00606D82" w:rsidP="0008629A">
            <w:pPr>
              <w:jc w:val="right"/>
              <w:rPr>
                <w:sz w:val="18"/>
                <w:szCs w:val="18"/>
                <w:lang w:val="en-GB"/>
              </w:rPr>
            </w:pPr>
            <w:r w:rsidRPr="00AB0C4E">
              <w:rPr>
                <w:sz w:val="18"/>
                <w:szCs w:val="18"/>
                <w:lang w:val="en-GB"/>
              </w:rPr>
              <w:t>IAS 36.134(c)</w:t>
            </w:r>
          </w:p>
          <w:p w14:paraId="5A42CEE9" w14:textId="77777777" w:rsidR="00606D82" w:rsidRPr="00AB0C4E" w:rsidRDefault="00606D82" w:rsidP="0008629A">
            <w:pPr>
              <w:jc w:val="right"/>
              <w:rPr>
                <w:sz w:val="18"/>
                <w:szCs w:val="18"/>
                <w:lang w:val="en-GB"/>
              </w:rPr>
            </w:pPr>
          </w:p>
          <w:p w14:paraId="5008A63F" w14:textId="77777777" w:rsidR="00606D82" w:rsidRPr="00AB0C4E" w:rsidRDefault="00606D82" w:rsidP="0008629A">
            <w:pPr>
              <w:jc w:val="right"/>
              <w:rPr>
                <w:sz w:val="18"/>
                <w:szCs w:val="18"/>
                <w:lang w:val="en-GB"/>
              </w:rPr>
            </w:pPr>
          </w:p>
          <w:p w14:paraId="56565511" w14:textId="657A065C" w:rsidR="00606D82" w:rsidRPr="00AB0C4E" w:rsidRDefault="00606D82" w:rsidP="004B3F7D">
            <w:pPr>
              <w:rPr>
                <w:sz w:val="18"/>
                <w:szCs w:val="18"/>
                <w:lang w:val="en-GB"/>
              </w:rPr>
            </w:pPr>
          </w:p>
          <w:p w14:paraId="490A5002" w14:textId="34F58A33" w:rsidR="00606D82" w:rsidRPr="00AB0C4E" w:rsidRDefault="00606D82" w:rsidP="0008629A">
            <w:pPr>
              <w:jc w:val="right"/>
              <w:rPr>
                <w:sz w:val="18"/>
                <w:szCs w:val="18"/>
                <w:lang w:val="en-GB"/>
              </w:rPr>
            </w:pPr>
            <w:r w:rsidRPr="00AB0C4E">
              <w:rPr>
                <w:sz w:val="18"/>
                <w:szCs w:val="18"/>
                <w:lang w:val="en-GB"/>
              </w:rPr>
              <w:t>IAS 36.134(d)</w:t>
            </w:r>
            <w:r w:rsidR="00664AB4" w:rsidRPr="00AB0C4E">
              <w:rPr>
                <w:sz w:val="18"/>
                <w:szCs w:val="18"/>
                <w:lang w:val="en-GB"/>
              </w:rPr>
              <w:t xml:space="preserve"> </w:t>
            </w:r>
            <w:r w:rsidRPr="00AB0C4E">
              <w:rPr>
                <w:sz w:val="18"/>
                <w:szCs w:val="18"/>
                <w:lang w:val="en-GB"/>
              </w:rPr>
              <w:t>(</w:t>
            </w:r>
            <w:proofErr w:type="spellStart"/>
            <w:r w:rsidRPr="00AB0C4E">
              <w:rPr>
                <w:sz w:val="18"/>
                <w:szCs w:val="18"/>
                <w:lang w:val="en-GB"/>
              </w:rPr>
              <w:t>i</w:t>
            </w:r>
            <w:proofErr w:type="spellEnd"/>
            <w:r w:rsidRPr="00AB0C4E">
              <w:rPr>
                <w:sz w:val="18"/>
                <w:szCs w:val="18"/>
                <w:lang w:val="en-GB"/>
              </w:rPr>
              <w:t>), (ii),(iii),(iv)</w:t>
            </w:r>
          </w:p>
          <w:p w14:paraId="2BAC269C" w14:textId="77777777" w:rsidR="00606D82" w:rsidRPr="00AB0C4E" w:rsidRDefault="00606D82" w:rsidP="0008629A">
            <w:pPr>
              <w:jc w:val="right"/>
              <w:rPr>
                <w:sz w:val="18"/>
                <w:szCs w:val="18"/>
                <w:lang w:val="en-GB"/>
              </w:rPr>
            </w:pPr>
          </w:p>
          <w:p w14:paraId="0651E5E6" w14:textId="77777777" w:rsidR="00606D82" w:rsidRPr="00AB0C4E" w:rsidRDefault="00606D82" w:rsidP="0008629A">
            <w:pPr>
              <w:jc w:val="right"/>
              <w:rPr>
                <w:sz w:val="18"/>
                <w:szCs w:val="18"/>
                <w:lang w:val="en-GB"/>
              </w:rPr>
            </w:pPr>
          </w:p>
          <w:p w14:paraId="0EED5703" w14:textId="77777777" w:rsidR="00606D82" w:rsidRPr="00AB0C4E" w:rsidRDefault="00606D82" w:rsidP="0008629A">
            <w:pPr>
              <w:jc w:val="right"/>
              <w:rPr>
                <w:sz w:val="18"/>
                <w:szCs w:val="18"/>
                <w:lang w:val="en-GB"/>
              </w:rPr>
            </w:pPr>
          </w:p>
          <w:p w14:paraId="422FD93E" w14:textId="77777777" w:rsidR="00606D82" w:rsidRPr="00AB0C4E" w:rsidRDefault="00606D82" w:rsidP="0008629A">
            <w:pPr>
              <w:jc w:val="right"/>
              <w:rPr>
                <w:sz w:val="18"/>
                <w:szCs w:val="18"/>
                <w:lang w:val="en-GB"/>
              </w:rPr>
            </w:pPr>
          </w:p>
          <w:p w14:paraId="40AE007B" w14:textId="77777777" w:rsidR="00606D82" w:rsidRPr="00AB0C4E" w:rsidRDefault="00606D82" w:rsidP="0008629A">
            <w:pPr>
              <w:jc w:val="right"/>
              <w:rPr>
                <w:sz w:val="18"/>
                <w:szCs w:val="18"/>
                <w:lang w:val="en-GB"/>
              </w:rPr>
            </w:pPr>
          </w:p>
          <w:p w14:paraId="6E554A2B" w14:textId="77777777" w:rsidR="00606D82" w:rsidRPr="00AB0C4E" w:rsidRDefault="00606D82" w:rsidP="0008629A">
            <w:pPr>
              <w:jc w:val="right"/>
              <w:rPr>
                <w:sz w:val="18"/>
                <w:szCs w:val="18"/>
                <w:lang w:val="en-GB"/>
              </w:rPr>
            </w:pPr>
          </w:p>
          <w:p w14:paraId="590B4B81" w14:textId="77777777" w:rsidR="00606D82" w:rsidRPr="00AB0C4E" w:rsidRDefault="00606D82" w:rsidP="0008629A">
            <w:pPr>
              <w:jc w:val="right"/>
              <w:rPr>
                <w:sz w:val="18"/>
                <w:szCs w:val="18"/>
                <w:lang w:val="en-GB"/>
              </w:rPr>
            </w:pPr>
          </w:p>
          <w:p w14:paraId="215C85AE" w14:textId="77777777" w:rsidR="00606D82" w:rsidRPr="00AB0C4E" w:rsidRDefault="00606D82" w:rsidP="0008629A">
            <w:pPr>
              <w:jc w:val="right"/>
              <w:rPr>
                <w:sz w:val="18"/>
                <w:szCs w:val="18"/>
                <w:lang w:val="en-GB"/>
              </w:rPr>
            </w:pPr>
          </w:p>
          <w:p w14:paraId="75813AAD" w14:textId="77777777" w:rsidR="00606D82" w:rsidRPr="00AB0C4E" w:rsidRDefault="00606D82" w:rsidP="0008629A">
            <w:pPr>
              <w:jc w:val="right"/>
              <w:rPr>
                <w:sz w:val="18"/>
                <w:szCs w:val="18"/>
                <w:lang w:val="en-GB"/>
              </w:rPr>
            </w:pPr>
          </w:p>
          <w:p w14:paraId="79B4F036" w14:textId="77777777" w:rsidR="00606D82" w:rsidRPr="00AB0C4E" w:rsidRDefault="00606D82" w:rsidP="0008629A">
            <w:pPr>
              <w:jc w:val="right"/>
              <w:rPr>
                <w:sz w:val="18"/>
                <w:szCs w:val="18"/>
                <w:lang w:val="en-GB"/>
              </w:rPr>
            </w:pPr>
          </w:p>
          <w:p w14:paraId="2D704114" w14:textId="77777777" w:rsidR="00606D82" w:rsidRPr="00AB0C4E" w:rsidRDefault="00606D82" w:rsidP="0008629A">
            <w:pPr>
              <w:rPr>
                <w:sz w:val="18"/>
                <w:szCs w:val="18"/>
                <w:lang w:val="en-GB"/>
              </w:rPr>
            </w:pPr>
          </w:p>
          <w:p w14:paraId="467D60AD" w14:textId="77777777" w:rsidR="00606D82" w:rsidRPr="00AB0C4E" w:rsidRDefault="00606D82" w:rsidP="0008629A">
            <w:pPr>
              <w:rPr>
                <w:sz w:val="18"/>
                <w:szCs w:val="18"/>
                <w:lang w:val="en-GB"/>
              </w:rPr>
            </w:pPr>
          </w:p>
          <w:p w14:paraId="52F2A078" w14:textId="77777777" w:rsidR="00606D82" w:rsidRPr="00AB0C4E" w:rsidRDefault="00606D82" w:rsidP="0008629A">
            <w:pPr>
              <w:jc w:val="right"/>
              <w:rPr>
                <w:sz w:val="18"/>
                <w:szCs w:val="18"/>
                <w:lang w:val="en-GB"/>
              </w:rPr>
            </w:pPr>
          </w:p>
          <w:p w14:paraId="4102EA58" w14:textId="49ECACC9" w:rsidR="00606D82" w:rsidRDefault="00606D82" w:rsidP="0008629A">
            <w:pPr>
              <w:jc w:val="right"/>
              <w:rPr>
                <w:sz w:val="18"/>
                <w:szCs w:val="18"/>
                <w:lang w:val="en-GB"/>
              </w:rPr>
            </w:pPr>
          </w:p>
          <w:p w14:paraId="17AD6EDE" w14:textId="77777777" w:rsidR="00A66DC1" w:rsidRPr="00AB0C4E" w:rsidRDefault="00A66DC1" w:rsidP="0008629A">
            <w:pPr>
              <w:jc w:val="right"/>
              <w:rPr>
                <w:sz w:val="18"/>
                <w:szCs w:val="18"/>
                <w:lang w:val="en-GB"/>
              </w:rPr>
            </w:pPr>
            <w:bookmarkStart w:id="13" w:name="_GoBack"/>
            <w:bookmarkEnd w:id="13"/>
          </w:p>
          <w:p w14:paraId="7CBB8C09" w14:textId="77777777" w:rsidR="004B3F7D" w:rsidRPr="00AB0C4E" w:rsidRDefault="004B3F7D" w:rsidP="0008629A">
            <w:pPr>
              <w:jc w:val="right"/>
              <w:rPr>
                <w:sz w:val="18"/>
                <w:szCs w:val="18"/>
                <w:lang w:val="en-GB"/>
              </w:rPr>
            </w:pPr>
          </w:p>
          <w:p w14:paraId="27E50823" w14:textId="77777777" w:rsidR="00606D82" w:rsidRPr="00AB0C4E" w:rsidRDefault="00606D82" w:rsidP="0008629A">
            <w:pPr>
              <w:jc w:val="right"/>
              <w:rPr>
                <w:sz w:val="18"/>
                <w:szCs w:val="18"/>
                <w:lang w:val="en-GB"/>
              </w:rPr>
            </w:pPr>
            <w:r w:rsidRPr="00AB0C4E">
              <w:rPr>
                <w:sz w:val="18"/>
                <w:szCs w:val="18"/>
                <w:lang w:val="en-GB"/>
              </w:rPr>
              <w:t>IAS 36.134(d) (v)</w:t>
            </w:r>
          </w:p>
          <w:p w14:paraId="1875FC36" w14:textId="77777777" w:rsidR="00606D82" w:rsidRPr="00AB0C4E" w:rsidRDefault="00606D82" w:rsidP="0008629A">
            <w:pPr>
              <w:jc w:val="right"/>
              <w:rPr>
                <w:sz w:val="18"/>
                <w:szCs w:val="18"/>
                <w:lang w:val="en-GB"/>
              </w:rPr>
            </w:pPr>
          </w:p>
          <w:p w14:paraId="015960C3" w14:textId="77777777" w:rsidR="00606D82" w:rsidRPr="00AB0C4E" w:rsidRDefault="00606D82" w:rsidP="0008629A">
            <w:pPr>
              <w:jc w:val="right"/>
              <w:rPr>
                <w:sz w:val="18"/>
                <w:szCs w:val="18"/>
                <w:lang w:val="en-GB"/>
              </w:rPr>
            </w:pPr>
          </w:p>
          <w:p w14:paraId="39A8E668" w14:textId="77777777" w:rsidR="00606D82" w:rsidRPr="00AB0C4E" w:rsidRDefault="00606D82" w:rsidP="00FD25C6">
            <w:pPr>
              <w:jc w:val="right"/>
              <w:rPr>
                <w:sz w:val="18"/>
                <w:szCs w:val="18"/>
                <w:lang w:val="en-GB"/>
              </w:rPr>
            </w:pPr>
            <w:r w:rsidRPr="00AB0C4E">
              <w:rPr>
                <w:sz w:val="18"/>
                <w:szCs w:val="18"/>
                <w:lang w:val="en-GB"/>
              </w:rPr>
              <w:t>IAS 36.134(a)</w:t>
            </w:r>
          </w:p>
          <w:p w14:paraId="1F9C0291" w14:textId="77777777" w:rsidR="00606D82" w:rsidRPr="00AB0C4E" w:rsidRDefault="00606D82" w:rsidP="0008629A">
            <w:pPr>
              <w:jc w:val="right"/>
              <w:rPr>
                <w:sz w:val="18"/>
                <w:szCs w:val="18"/>
                <w:lang w:val="en-GB"/>
              </w:rPr>
            </w:pPr>
          </w:p>
          <w:p w14:paraId="3F1B45E6" w14:textId="77777777" w:rsidR="00606D82" w:rsidRPr="00AB0C4E" w:rsidRDefault="00606D82" w:rsidP="0008629A">
            <w:pPr>
              <w:jc w:val="right"/>
              <w:rPr>
                <w:sz w:val="18"/>
                <w:szCs w:val="18"/>
                <w:lang w:val="en-GB"/>
              </w:rPr>
            </w:pPr>
          </w:p>
          <w:p w14:paraId="14555E80" w14:textId="77777777" w:rsidR="00606D82" w:rsidRPr="00AB0C4E" w:rsidRDefault="00606D82" w:rsidP="0008629A">
            <w:pPr>
              <w:jc w:val="right"/>
              <w:rPr>
                <w:sz w:val="18"/>
                <w:szCs w:val="18"/>
                <w:lang w:val="en-GB"/>
              </w:rPr>
            </w:pPr>
          </w:p>
          <w:p w14:paraId="2A171517" w14:textId="77777777" w:rsidR="00606D82" w:rsidRPr="00AB0C4E" w:rsidRDefault="00606D82" w:rsidP="0008629A">
            <w:pPr>
              <w:jc w:val="right"/>
              <w:rPr>
                <w:sz w:val="18"/>
                <w:szCs w:val="18"/>
                <w:lang w:val="en-GB"/>
              </w:rPr>
            </w:pPr>
          </w:p>
          <w:p w14:paraId="5290DCDC" w14:textId="77777777" w:rsidR="00606D82" w:rsidRPr="00AB0C4E" w:rsidRDefault="00606D82" w:rsidP="0008629A">
            <w:pPr>
              <w:jc w:val="right"/>
              <w:rPr>
                <w:sz w:val="18"/>
                <w:szCs w:val="18"/>
                <w:lang w:val="en-GB"/>
              </w:rPr>
            </w:pPr>
          </w:p>
          <w:p w14:paraId="1A75C508" w14:textId="77777777" w:rsidR="00606D82" w:rsidRPr="00AB0C4E" w:rsidRDefault="00606D82" w:rsidP="0008629A">
            <w:pPr>
              <w:rPr>
                <w:sz w:val="18"/>
                <w:szCs w:val="18"/>
                <w:lang w:val="en-GB"/>
              </w:rPr>
            </w:pPr>
          </w:p>
          <w:p w14:paraId="331486F8" w14:textId="163D9FE8" w:rsidR="00606D82" w:rsidRPr="00AB0C4E" w:rsidRDefault="00606D82" w:rsidP="0008629A">
            <w:pPr>
              <w:jc w:val="right"/>
              <w:rPr>
                <w:sz w:val="18"/>
                <w:szCs w:val="18"/>
                <w:lang w:val="en-GB"/>
              </w:rPr>
            </w:pPr>
          </w:p>
          <w:p w14:paraId="552C4579" w14:textId="77777777" w:rsidR="001C301F" w:rsidRPr="00AB0C4E" w:rsidRDefault="001C301F" w:rsidP="0008629A">
            <w:pPr>
              <w:jc w:val="right"/>
              <w:rPr>
                <w:sz w:val="18"/>
                <w:szCs w:val="18"/>
                <w:lang w:val="en-GB"/>
              </w:rPr>
            </w:pPr>
          </w:p>
          <w:p w14:paraId="6202888E" w14:textId="77777777" w:rsidR="001C301F" w:rsidRPr="00AB0C4E" w:rsidRDefault="001C301F" w:rsidP="001C301F">
            <w:pPr>
              <w:jc w:val="right"/>
              <w:rPr>
                <w:sz w:val="18"/>
                <w:szCs w:val="18"/>
                <w:lang w:val="en-GB"/>
              </w:rPr>
            </w:pPr>
            <w:r w:rsidRPr="00AB0C4E">
              <w:rPr>
                <w:sz w:val="18"/>
                <w:szCs w:val="18"/>
                <w:lang w:val="en-GB"/>
              </w:rPr>
              <w:t>IAS 36.134(f)(</w:t>
            </w:r>
            <w:proofErr w:type="spellStart"/>
            <w:r w:rsidRPr="00AB0C4E">
              <w:rPr>
                <w:sz w:val="18"/>
                <w:szCs w:val="18"/>
                <w:lang w:val="en-GB"/>
              </w:rPr>
              <w:t>i</w:t>
            </w:r>
            <w:proofErr w:type="spellEnd"/>
            <w:r w:rsidRPr="00AB0C4E">
              <w:rPr>
                <w:sz w:val="18"/>
                <w:szCs w:val="18"/>
                <w:lang w:val="en-GB"/>
              </w:rPr>
              <w:t>)</w:t>
            </w:r>
          </w:p>
          <w:p w14:paraId="225DAC14" w14:textId="77777777" w:rsidR="00606D82" w:rsidRPr="00AB0C4E" w:rsidRDefault="00606D82" w:rsidP="00FD25C6">
            <w:pPr>
              <w:jc w:val="center"/>
              <w:rPr>
                <w:lang w:val="en-GB"/>
              </w:rPr>
            </w:pPr>
          </w:p>
          <w:p w14:paraId="08ACCF59" w14:textId="77777777" w:rsidR="00606D82" w:rsidRPr="00AB0C4E" w:rsidRDefault="00606D82" w:rsidP="001C301F">
            <w:pPr>
              <w:rPr>
                <w:sz w:val="18"/>
                <w:szCs w:val="18"/>
                <w:lang w:val="en-GB"/>
              </w:rPr>
            </w:pPr>
          </w:p>
          <w:p w14:paraId="689B50D0" w14:textId="77777777" w:rsidR="00606D82" w:rsidRPr="00AB0C4E" w:rsidRDefault="00606D82" w:rsidP="0008629A">
            <w:pPr>
              <w:jc w:val="right"/>
              <w:rPr>
                <w:sz w:val="18"/>
                <w:szCs w:val="18"/>
                <w:lang w:val="en-GB"/>
              </w:rPr>
            </w:pPr>
          </w:p>
          <w:p w14:paraId="29782058" w14:textId="77777777" w:rsidR="00606D82" w:rsidRPr="00AB0C4E" w:rsidRDefault="00606D82" w:rsidP="0008629A">
            <w:pPr>
              <w:jc w:val="right"/>
              <w:rPr>
                <w:sz w:val="18"/>
                <w:szCs w:val="18"/>
                <w:lang w:val="en-GB"/>
              </w:rPr>
            </w:pPr>
          </w:p>
          <w:p w14:paraId="6A6D6047" w14:textId="77777777" w:rsidR="007B74D9" w:rsidRDefault="007B74D9" w:rsidP="001C301F">
            <w:pPr>
              <w:jc w:val="right"/>
              <w:rPr>
                <w:sz w:val="18"/>
                <w:szCs w:val="18"/>
                <w:lang w:val="en-GB"/>
              </w:rPr>
            </w:pPr>
          </w:p>
          <w:p w14:paraId="36D95E63" w14:textId="77777777" w:rsidR="007B74D9" w:rsidRDefault="007B74D9" w:rsidP="001C301F">
            <w:pPr>
              <w:jc w:val="right"/>
              <w:rPr>
                <w:sz w:val="18"/>
                <w:szCs w:val="18"/>
                <w:lang w:val="en-GB"/>
              </w:rPr>
            </w:pPr>
          </w:p>
          <w:p w14:paraId="00BF820E" w14:textId="77777777" w:rsidR="007B74D9" w:rsidRDefault="007B74D9" w:rsidP="001C301F">
            <w:pPr>
              <w:jc w:val="right"/>
              <w:rPr>
                <w:sz w:val="18"/>
                <w:szCs w:val="18"/>
                <w:lang w:val="en-GB"/>
              </w:rPr>
            </w:pPr>
          </w:p>
          <w:p w14:paraId="45928F28" w14:textId="77777777" w:rsidR="007B74D9" w:rsidRDefault="007B74D9" w:rsidP="001C301F">
            <w:pPr>
              <w:jc w:val="right"/>
              <w:rPr>
                <w:sz w:val="18"/>
                <w:szCs w:val="18"/>
                <w:lang w:val="en-GB"/>
              </w:rPr>
            </w:pPr>
          </w:p>
          <w:p w14:paraId="6BEBC9C8" w14:textId="00D9FB83" w:rsidR="00606D82" w:rsidRPr="00AB0C4E" w:rsidRDefault="00606D82" w:rsidP="001C301F">
            <w:pPr>
              <w:jc w:val="right"/>
              <w:rPr>
                <w:lang w:val="en-GB"/>
              </w:rPr>
            </w:pPr>
            <w:r w:rsidRPr="00AB0C4E">
              <w:rPr>
                <w:sz w:val="18"/>
                <w:szCs w:val="18"/>
                <w:lang w:val="en-GB"/>
              </w:rPr>
              <w:t>IAS 36.134(f)</w:t>
            </w:r>
            <w:r w:rsidR="001C301F" w:rsidRPr="00AB0C4E">
              <w:rPr>
                <w:sz w:val="18"/>
                <w:szCs w:val="18"/>
                <w:lang w:val="en-GB"/>
              </w:rPr>
              <w:t xml:space="preserve"> (iii)</w:t>
            </w:r>
          </w:p>
        </w:tc>
        <w:tc>
          <w:tcPr>
            <w:tcW w:w="12524" w:type="dxa"/>
            <w:shd w:val="clear" w:color="auto" w:fill="FFFFFF" w:themeFill="background1"/>
          </w:tcPr>
          <w:p w14:paraId="4FA8DC37" w14:textId="77777777" w:rsidR="00606D82" w:rsidRPr="00AB0C4E" w:rsidRDefault="00606D82" w:rsidP="0008629A">
            <w:pPr>
              <w:ind w:left="-18"/>
              <w:rPr>
                <w:rFonts w:cstheme="minorHAnsi"/>
                <w:snapToGrid w:val="0"/>
                <w:lang w:val="en-GB"/>
              </w:rPr>
            </w:pPr>
            <w:r w:rsidRPr="00AB0C4E">
              <w:rPr>
                <w:rFonts w:cstheme="minorHAnsi"/>
                <w:snapToGrid w:val="0"/>
                <w:lang w:val="en-GB"/>
              </w:rPr>
              <w:lastRenderedPageBreak/>
              <w:t>Most revenue streams have experienced significant reductions since the pandemic’s effects became widespread. The Company considered the reduced sales and reductions in budgeted revenue as indicators of impairment, and therefore determined the recoverable amount for all of its cash generating units. The recoverable amount is the higher of fair value less costs of disposal and value in use. Value in use was higher in all cases due to the nature of the assets included in the carrying amount of cash generating units.</w:t>
            </w:r>
          </w:p>
          <w:p w14:paraId="1C151834" w14:textId="77777777" w:rsidR="00606D82" w:rsidRPr="00AB0C4E" w:rsidRDefault="00606D82" w:rsidP="0008629A">
            <w:pPr>
              <w:ind w:left="540"/>
              <w:rPr>
                <w:rFonts w:cstheme="minorHAnsi"/>
                <w:snapToGrid w:val="0"/>
                <w:lang w:val="en-GB"/>
              </w:rPr>
            </w:pPr>
          </w:p>
          <w:p w14:paraId="704E3DC8" w14:textId="77777777" w:rsidR="00606D82" w:rsidRPr="00AB0C4E" w:rsidRDefault="00606D82" w:rsidP="0008629A">
            <w:pPr>
              <w:ind w:left="-18"/>
              <w:rPr>
                <w:rFonts w:cstheme="minorHAnsi"/>
                <w:snapToGrid w:val="0"/>
                <w:lang w:val="en-GB"/>
              </w:rPr>
            </w:pPr>
            <w:r w:rsidRPr="00AB0C4E">
              <w:rPr>
                <w:rFonts w:cstheme="minorHAnsi"/>
                <w:snapToGrid w:val="0"/>
                <w:lang w:val="en-GB"/>
              </w:rPr>
              <w:t>Groups of cash generating units are summarised as follows, with each Z Layout branded retail location and Great Times Sports Equipment representing a distinct cash generating unit:</w:t>
            </w:r>
          </w:p>
          <w:p w14:paraId="04A51905" w14:textId="77777777" w:rsidR="00606D82" w:rsidRPr="00AB0C4E" w:rsidRDefault="00606D82" w:rsidP="0008629A">
            <w:pPr>
              <w:ind w:left="540"/>
              <w:rPr>
                <w:rFonts w:cstheme="minorHAnsi"/>
                <w:snapToGrid w:val="0"/>
                <w:lang w:val="en-GB"/>
              </w:rPr>
            </w:pPr>
          </w:p>
          <w:p w14:paraId="4CBD95EE" w14:textId="77777777" w:rsidR="00606D82" w:rsidRPr="00AB0C4E" w:rsidRDefault="00606D82" w:rsidP="00606D82">
            <w:pPr>
              <w:pStyle w:val="ListParagraph"/>
              <w:numPr>
                <w:ilvl w:val="0"/>
                <w:numId w:val="35"/>
              </w:numPr>
              <w:contextualSpacing/>
              <w:rPr>
                <w:rFonts w:cstheme="minorHAnsi"/>
                <w:snapToGrid w:val="0"/>
              </w:rPr>
            </w:pPr>
            <w:r w:rsidRPr="00AB0C4E">
              <w:rPr>
                <w:rFonts w:cstheme="minorHAnsi"/>
                <w:snapToGrid w:val="0"/>
              </w:rPr>
              <w:t>Online sales function;</w:t>
            </w:r>
          </w:p>
          <w:p w14:paraId="202D9F62" w14:textId="77777777" w:rsidR="00606D82" w:rsidRPr="00AB0C4E" w:rsidRDefault="00606D82" w:rsidP="00606D82">
            <w:pPr>
              <w:pStyle w:val="ListParagraph"/>
              <w:numPr>
                <w:ilvl w:val="0"/>
                <w:numId w:val="35"/>
              </w:numPr>
              <w:contextualSpacing/>
              <w:rPr>
                <w:rFonts w:cstheme="minorHAnsi"/>
                <w:snapToGrid w:val="0"/>
              </w:rPr>
            </w:pPr>
            <w:r w:rsidRPr="00AB0C4E">
              <w:rPr>
                <w:rFonts w:cstheme="minorHAnsi"/>
                <w:snapToGrid w:val="0"/>
              </w:rPr>
              <w:t>Z Layout branded retail locations; and</w:t>
            </w:r>
          </w:p>
          <w:p w14:paraId="114836DD" w14:textId="77777777" w:rsidR="00606D82" w:rsidRPr="00AB0C4E" w:rsidRDefault="00606D82" w:rsidP="00606D82">
            <w:pPr>
              <w:pStyle w:val="ListParagraph"/>
              <w:numPr>
                <w:ilvl w:val="0"/>
                <w:numId w:val="35"/>
              </w:numPr>
              <w:contextualSpacing/>
              <w:rPr>
                <w:rFonts w:cstheme="minorHAnsi"/>
                <w:snapToGrid w:val="0"/>
              </w:rPr>
            </w:pPr>
            <w:r w:rsidRPr="00AB0C4E">
              <w:rPr>
                <w:rFonts w:cstheme="minorHAnsi"/>
                <w:snapToGrid w:val="0"/>
              </w:rPr>
              <w:t>Great Times Sports Equipment (</w:t>
            </w:r>
            <w:proofErr w:type="spellStart"/>
            <w:r w:rsidRPr="00AB0C4E">
              <w:rPr>
                <w:rFonts w:cstheme="minorHAnsi"/>
                <w:snapToGrid w:val="0"/>
              </w:rPr>
              <w:t>GTSE</w:t>
            </w:r>
            <w:proofErr w:type="spellEnd"/>
            <w:r w:rsidRPr="00AB0C4E">
              <w:rPr>
                <w:rFonts w:cstheme="minorHAnsi"/>
                <w:snapToGrid w:val="0"/>
              </w:rPr>
              <w:t>) retail locations, which were acquired in a business combination in 2018.</w:t>
            </w:r>
          </w:p>
          <w:p w14:paraId="1A6D81F9" w14:textId="77777777" w:rsidR="00606D82" w:rsidRPr="00AB0C4E" w:rsidRDefault="00606D82" w:rsidP="0008629A">
            <w:pPr>
              <w:ind w:left="540"/>
              <w:rPr>
                <w:rFonts w:cstheme="minorHAnsi"/>
                <w:snapToGrid w:val="0"/>
                <w:lang w:val="en-GB"/>
              </w:rPr>
            </w:pPr>
          </w:p>
          <w:p w14:paraId="4C821A58" w14:textId="77777777" w:rsidR="007B74D9" w:rsidRDefault="007B74D9" w:rsidP="0008629A">
            <w:pPr>
              <w:ind w:left="-18"/>
              <w:rPr>
                <w:rFonts w:cstheme="minorHAnsi"/>
                <w:snapToGrid w:val="0"/>
                <w:lang w:val="en-GB"/>
              </w:rPr>
            </w:pPr>
          </w:p>
          <w:p w14:paraId="08EB7C39" w14:textId="0E251E03" w:rsidR="007B74D9" w:rsidRPr="00E34B15" w:rsidRDefault="007B74D9" w:rsidP="00E34B15">
            <w:pPr>
              <w:rPr>
                <w:rFonts w:cstheme="minorHAnsi"/>
                <w:i/>
                <w:iCs/>
                <w:snapToGrid w:val="0"/>
                <w:lang w:val="en-GB"/>
              </w:rPr>
            </w:pPr>
            <w:r w:rsidRPr="004263B7">
              <w:rPr>
                <w:rFonts w:cstheme="minorHAnsi"/>
                <w:i/>
                <w:iCs/>
                <w:snapToGrid w:val="0"/>
                <w:lang w:val="en-GB"/>
              </w:rPr>
              <w:lastRenderedPageBreak/>
              <w:t>(Continued…)</w:t>
            </w:r>
          </w:p>
          <w:p w14:paraId="40B40B12" w14:textId="77777777" w:rsidR="007B74D9" w:rsidRDefault="007B74D9" w:rsidP="0008629A">
            <w:pPr>
              <w:ind w:left="-18"/>
              <w:rPr>
                <w:rFonts w:cstheme="minorHAnsi"/>
                <w:snapToGrid w:val="0"/>
                <w:lang w:val="en-GB"/>
              </w:rPr>
            </w:pPr>
          </w:p>
          <w:p w14:paraId="761FDE15" w14:textId="26FC862C" w:rsidR="00606D82" w:rsidRPr="00AB0C4E" w:rsidRDefault="00606D82" w:rsidP="0008629A">
            <w:pPr>
              <w:ind w:left="-18"/>
              <w:rPr>
                <w:rFonts w:cstheme="minorHAnsi"/>
                <w:snapToGrid w:val="0"/>
                <w:lang w:val="en-GB"/>
              </w:rPr>
            </w:pPr>
            <w:r w:rsidRPr="00AB0C4E">
              <w:rPr>
                <w:rFonts w:cstheme="minorHAnsi"/>
                <w:snapToGrid w:val="0"/>
                <w:lang w:val="en-GB"/>
              </w:rPr>
              <w:t>Recoverable amount exceeded the carrying amount of all cash generating units based on forecast cash flows</w:t>
            </w:r>
            <w:r w:rsidR="00664AB4" w:rsidRPr="00AB0C4E">
              <w:rPr>
                <w:rFonts w:cstheme="minorHAnsi"/>
                <w:snapToGrid w:val="0"/>
                <w:lang w:val="en-GB"/>
              </w:rPr>
              <w:t xml:space="preserve"> for all cash-generating units</w:t>
            </w:r>
            <w:r w:rsidRPr="00AB0C4E">
              <w:rPr>
                <w:rFonts w:cstheme="minorHAnsi"/>
                <w:snapToGrid w:val="0"/>
                <w:lang w:val="en-GB"/>
              </w:rPr>
              <w:t>. The cash flow forecasts are based on budgets for the next 5 years, with a terminal value thereafter. The cash flows were probability weighted based on the following scenarios:</w:t>
            </w:r>
          </w:p>
          <w:p w14:paraId="3F97C769" w14:textId="77777777" w:rsidR="00606D82" w:rsidRPr="00AB0C4E" w:rsidRDefault="00606D82" w:rsidP="0008629A">
            <w:pPr>
              <w:ind w:left="540"/>
              <w:rPr>
                <w:rFonts w:cstheme="minorHAnsi"/>
                <w:snapToGrid w:val="0"/>
                <w:lang w:val="en-GB"/>
              </w:rPr>
            </w:pPr>
          </w:p>
          <w:p w14:paraId="3CC9E3AE" w14:textId="77777777" w:rsidR="00606D82" w:rsidRPr="00AB0C4E" w:rsidRDefault="00606D82" w:rsidP="00606D82">
            <w:pPr>
              <w:pStyle w:val="ListParagraph"/>
              <w:numPr>
                <w:ilvl w:val="0"/>
                <w:numId w:val="36"/>
              </w:numPr>
              <w:ind w:left="1276"/>
              <w:contextualSpacing/>
              <w:rPr>
                <w:rFonts w:cstheme="minorHAnsi"/>
                <w:snapToGrid w:val="0"/>
              </w:rPr>
            </w:pPr>
            <w:r w:rsidRPr="00AB0C4E">
              <w:rPr>
                <w:rFonts w:cstheme="minorHAnsi"/>
                <w:snapToGrid w:val="0"/>
              </w:rPr>
              <w:t>Base case (50% weighting): stores remain closed for 16 weeks, with consumer demand not returning to pre-pandemic levels until September 2021, resulting in a significant effect on most of the summer selling season.</w:t>
            </w:r>
          </w:p>
          <w:p w14:paraId="28307091" w14:textId="77777777" w:rsidR="00606D82" w:rsidRPr="00AB0C4E" w:rsidRDefault="00606D82" w:rsidP="00606D82">
            <w:pPr>
              <w:pStyle w:val="ListParagraph"/>
              <w:numPr>
                <w:ilvl w:val="0"/>
                <w:numId w:val="36"/>
              </w:numPr>
              <w:ind w:left="1276"/>
              <w:contextualSpacing/>
              <w:rPr>
                <w:rFonts w:cstheme="minorHAnsi"/>
                <w:snapToGrid w:val="0"/>
              </w:rPr>
            </w:pPr>
            <w:r w:rsidRPr="00AB0C4E">
              <w:rPr>
                <w:rFonts w:cstheme="minorHAnsi"/>
                <w:snapToGrid w:val="0"/>
              </w:rPr>
              <w:t xml:space="preserve">Positive case (20% weighting): stores remain closed for 8 weeks, with consumer demand returning to pre-pandemic levels by June 2021, in time for the summer selling season. </w:t>
            </w:r>
          </w:p>
          <w:p w14:paraId="655B22CC" w14:textId="77777777" w:rsidR="00606D82" w:rsidRPr="00AB0C4E" w:rsidRDefault="00606D82" w:rsidP="00606D82">
            <w:pPr>
              <w:pStyle w:val="ListParagraph"/>
              <w:numPr>
                <w:ilvl w:val="0"/>
                <w:numId w:val="36"/>
              </w:numPr>
              <w:ind w:left="1276"/>
              <w:contextualSpacing/>
              <w:rPr>
                <w:rFonts w:cstheme="minorHAnsi"/>
                <w:snapToGrid w:val="0"/>
              </w:rPr>
            </w:pPr>
            <w:r w:rsidRPr="00AB0C4E">
              <w:rPr>
                <w:rFonts w:cstheme="minorHAnsi"/>
                <w:snapToGrid w:val="0"/>
              </w:rPr>
              <w:t>Negative case (20% weighting): stores remain closed for 24 weeks, with consumer demand not returning to pre-pandemic levels until December 2021.</w:t>
            </w:r>
          </w:p>
          <w:p w14:paraId="7452C7D2" w14:textId="77777777" w:rsidR="00606D82" w:rsidRPr="00AB0C4E" w:rsidRDefault="00606D82" w:rsidP="00606D82">
            <w:pPr>
              <w:pStyle w:val="ListParagraph"/>
              <w:numPr>
                <w:ilvl w:val="0"/>
                <w:numId w:val="36"/>
              </w:numPr>
              <w:ind w:left="1276"/>
              <w:contextualSpacing/>
              <w:rPr>
                <w:rFonts w:cstheme="minorHAnsi"/>
                <w:snapToGrid w:val="0"/>
              </w:rPr>
            </w:pPr>
            <w:r w:rsidRPr="00AB0C4E">
              <w:rPr>
                <w:rFonts w:cstheme="minorHAnsi"/>
                <w:snapToGrid w:val="0"/>
              </w:rPr>
              <w:t xml:space="preserve">Worst case (10% weighting): stores remain closed for 40 weeks, causing significant disruptions to the 2021 Christmas selling season, with consumer demand not returning to pre-pandemic levels until March 2022. </w:t>
            </w:r>
          </w:p>
          <w:p w14:paraId="26C8A9B8" w14:textId="77777777" w:rsidR="00606D82" w:rsidRPr="00AB0C4E" w:rsidRDefault="00606D82" w:rsidP="0008629A">
            <w:pPr>
              <w:rPr>
                <w:rFonts w:cstheme="minorHAnsi"/>
                <w:snapToGrid w:val="0"/>
                <w:lang w:val="en-GB"/>
              </w:rPr>
            </w:pPr>
          </w:p>
          <w:p w14:paraId="7B23B701" w14:textId="77777777" w:rsidR="00606D82" w:rsidRPr="00AB0C4E" w:rsidRDefault="00606D82" w:rsidP="0008629A">
            <w:pPr>
              <w:rPr>
                <w:rFonts w:cstheme="minorHAnsi"/>
                <w:snapToGrid w:val="0"/>
                <w:lang w:val="en-GB"/>
              </w:rPr>
            </w:pPr>
            <w:r w:rsidRPr="00AB0C4E">
              <w:rPr>
                <w:rFonts w:cstheme="minorHAnsi"/>
                <w:snapToGrid w:val="0"/>
                <w:lang w:val="en-GB"/>
              </w:rPr>
              <w:t xml:space="preserve">The terminal value includes a growth rate of 2.5%, which is the average long-term growth rate for the Company’s industry. </w:t>
            </w:r>
          </w:p>
          <w:p w14:paraId="2430A64A" w14:textId="77777777" w:rsidR="00606D82" w:rsidRPr="00AB0C4E" w:rsidRDefault="00606D82" w:rsidP="0008629A">
            <w:pPr>
              <w:ind w:left="540"/>
              <w:rPr>
                <w:rFonts w:cstheme="minorHAnsi"/>
                <w:snapToGrid w:val="0"/>
                <w:lang w:val="en-GB"/>
              </w:rPr>
            </w:pPr>
          </w:p>
          <w:p w14:paraId="79682159" w14:textId="77777777" w:rsidR="00606D82" w:rsidRPr="00AB0C4E" w:rsidRDefault="00606D82" w:rsidP="0008629A">
            <w:pPr>
              <w:rPr>
                <w:rFonts w:cstheme="minorHAnsi"/>
                <w:snapToGrid w:val="0"/>
                <w:lang w:val="en-GB"/>
              </w:rPr>
            </w:pPr>
            <w:r w:rsidRPr="00AB0C4E">
              <w:rPr>
                <w:rFonts w:cstheme="minorHAnsi"/>
                <w:snapToGrid w:val="0"/>
                <w:lang w:val="en-GB"/>
              </w:rPr>
              <w:t xml:space="preserve">These cash flow projections were weighted as noted above for all cash generating units except for those related to </w:t>
            </w:r>
            <w:proofErr w:type="spellStart"/>
            <w:r w:rsidRPr="00AB0C4E">
              <w:rPr>
                <w:rFonts w:cstheme="minorHAnsi"/>
                <w:snapToGrid w:val="0"/>
                <w:lang w:val="en-GB"/>
              </w:rPr>
              <w:t>GTSE</w:t>
            </w:r>
            <w:proofErr w:type="spellEnd"/>
            <w:r w:rsidRPr="00AB0C4E">
              <w:rPr>
                <w:rFonts w:cstheme="minorHAnsi"/>
                <w:snapToGrid w:val="0"/>
                <w:lang w:val="en-GB"/>
              </w:rPr>
              <w:t xml:space="preserve">, where the negative case was weighted 40% and the positive case was weighted 0%. This is due to expectations that </w:t>
            </w:r>
            <w:proofErr w:type="spellStart"/>
            <w:r w:rsidRPr="00AB0C4E">
              <w:rPr>
                <w:rFonts w:cstheme="minorHAnsi"/>
                <w:snapToGrid w:val="0"/>
                <w:lang w:val="en-GB"/>
              </w:rPr>
              <w:t>GTSE’s</w:t>
            </w:r>
            <w:proofErr w:type="spellEnd"/>
            <w:r w:rsidRPr="00AB0C4E">
              <w:rPr>
                <w:rFonts w:cstheme="minorHAnsi"/>
                <w:snapToGrid w:val="0"/>
                <w:lang w:val="en-GB"/>
              </w:rPr>
              <w:t xml:space="preserve"> product lines will take longer to return to pre-pandemic demand than other cash generating units and </w:t>
            </w:r>
            <w:proofErr w:type="spellStart"/>
            <w:r w:rsidRPr="00AB0C4E">
              <w:rPr>
                <w:rFonts w:cstheme="minorHAnsi"/>
                <w:snapToGrid w:val="0"/>
                <w:lang w:val="en-GB"/>
              </w:rPr>
              <w:t>GTSE’s</w:t>
            </w:r>
            <w:proofErr w:type="spellEnd"/>
            <w:r w:rsidRPr="00AB0C4E">
              <w:rPr>
                <w:rFonts w:cstheme="minorHAnsi"/>
                <w:snapToGrid w:val="0"/>
                <w:lang w:val="en-GB"/>
              </w:rPr>
              <w:t xml:space="preserve"> locations being more significantly affected by government-imposed lockdowns. </w:t>
            </w:r>
          </w:p>
          <w:p w14:paraId="2AD44394" w14:textId="77777777" w:rsidR="00606D82" w:rsidRPr="00AB0C4E" w:rsidRDefault="00606D82" w:rsidP="0008629A">
            <w:pPr>
              <w:rPr>
                <w:rFonts w:cstheme="minorHAnsi"/>
                <w:snapToGrid w:val="0"/>
                <w:lang w:val="en-GB"/>
              </w:rPr>
            </w:pPr>
          </w:p>
          <w:p w14:paraId="2C313C24" w14:textId="77777777" w:rsidR="00606D82" w:rsidRPr="00AB0C4E" w:rsidRDefault="00606D82" w:rsidP="0008629A">
            <w:pPr>
              <w:rPr>
                <w:rFonts w:cstheme="minorHAnsi"/>
                <w:snapToGrid w:val="0"/>
                <w:lang w:val="en-GB"/>
              </w:rPr>
            </w:pPr>
            <w:r w:rsidRPr="00AB0C4E">
              <w:rPr>
                <w:rFonts w:cstheme="minorHAnsi"/>
                <w:snapToGrid w:val="0"/>
                <w:lang w:val="en-GB"/>
              </w:rPr>
              <w:t xml:space="preserve">The cash flows were discounted at a rate of 9.5%, which reflects the time value of money and risks specific to the Company’s industry, which were not reflected in the value in use cash flows.  </w:t>
            </w:r>
          </w:p>
          <w:p w14:paraId="77DCED78" w14:textId="77777777" w:rsidR="00606D82" w:rsidRPr="00AB0C4E" w:rsidRDefault="00606D82" w:rsidP="0008629A">
            <w:pPr>
              <w:rPr>
                <w:rFonts w:cstheme="minorHAnsi"/>
                <w:snapToGrid w:val="0"/>
                <w:lang w:val="en-GB"/>
              </w:rPr>
            </w:pPr>
          </w:p>
          <w:p w14:paraId="718EFDDE" w14:textId="3ADB11F4" w:rsidR="00606D82" w:rsidRPr="00AB0C4E" w:rsidRDefault="00FD25C6" w:rsidP="0008629A">
            <w:pPr>
              <w:rPr>
                <w:rFonts w:cstheme="minorHAnsi"/>
                <w:snapToGrid w:val="0"/>
                <w:lang w:val="en-GB"/>
              </w:rPr>
            </w:pPr>
            <w:r w:rsidRPr="00AB0C4E">
              <w:rPr>
                <w:rFonts w:cstheme="minorHAnsi"/>
                <w:snapToGrid w:val="0"/>
                <w:lang w:val="en-GB"/>
              </w:rPr>
              <w:t>T</w:t>
            </w:r>
            <w:r w:rsidR="00606D82" w:rsidRPr="00AB0C4E">
              <w:rPr>
                <w:rFonts w:cstheme="minorHAnsi"/>
                <w:snapToGrid w:val="0"/>
                <w:lang w:val="en-GB"/>
              </w:rPr>
              <w:t xml:space="preserve">he carrying amount of goodwill included in </w:t>
            </w:r>
            <w:proofErr w:type="spellStart"/>
            <w:r w:rsidR="00606D82" w:rsidRPr="00AB0C4E">
              <w:rPr>
                <w:rFonts w:cstheme="minorHAnsi"/>
                <w:snapToGrid w:val="0"/>
                <w:lang w:val="en-GB"/>
              </w:rPr>
              <w:t>GTSE’s</w:t>
            </w:r>
            <w:proofErr w:type="spellEnd"/>
            <w:r w:rsidR="00606D82" w:rsidRPr="00AB0C4E">
              <w:rPr>
                <w:rFonts w:cstheme="minorHAnsi"/>
                <w:snapToGrid w:val="0"/>
                <w:lang w:val="en-GB"/>
              </w:rPr>
              <w:t xml:space="preserve"> cash</w:t>
            </w:r>
            <w:r w:rsidR="001C301F" w:rsidRPr="00AB0C4E">
              <w:rPr>
                <w:rFonts w:cstheme="minorHAnsi"/>
                <w:snapToGrid w:val="0"/>
                <w:lang w:val="en-GB"/>
              </w:rPr>
              <w:t>-</w:t>
            </w:r>
            <w:r w:rsidR="00606D82" w:rsidRPr="00AB0C4E">
              <w:rPr>
                <w:rFonts w:cstheme="minorHAnsi"/>
                <w:snapToGrid w:val="0"/>
                <w:lang w:val="en-GB"/>
              </w:rPr>
              <w:t>generating units</w:t>
            </w:r>
            <w:r w:rsidRPr="00AB0C4E">
              <w:rPr>
                <w:rFonts w:cstheme="minorHAnsi"/>
                <w:snapToGrid w:val="0"/>
                <w:lang w:val="en-GB"/>
              </w:rPr>
              <w:t xml:space="preserve"> is CU1,650,000.</w:t>
            </w:r>
          </w:p>
          <w:p w14:paraId="00713412" w14:textId="77777777" w:rsidR="00606D82" w:rsidRPr="00AB0C4E" w:rsidRDefault="00606D82" w:rsidP="00FD25C6">
            <w:pPr>
              <w:rPr>
                <w:rFonts w:cstheme="minorHAnsi"/>
                <w:snapToGrid w:val="0"/>
                <w:lang w:val="en-GB"/>
              </w:rPr>
            </w:pPr>
          </w:p>
          <w:p w14:paraId="11E73B2F" w14:textId="4E535854" w:rsidR="00606D82" w:rsidRPr="00AB0C4E" w:rsidRDefault="00606D82" w:rsidP="0008629A">
            <w:pPr>
              <w:rPr>
                <w:rFonts w:cstheme="minorHAnsi"/>
                <w:snapToGrid w:val="0"/>
                <w:lang w:val="en-GB"/>
              </w:rPr>
            </w:pPr>
            <w:r w:rsidRPr="00AB0C4E">
              <w:rPr>
                <w:rFonts w:cstheme="minorHAnsi"/>
                <w:snapToGrid w:val="0"/>
                <w:lang w:val="en-GB"/>
              </w:rPr>
              <w:t xml:space="preserve">The recoverable amount exceeded the carrying amount for the Company’s cash generating units, however, as the carrying amount of goodwill allocated to </w:t>
            </w:r>
            <w:proofErr w:type="spellStart"/>
            <w:r w:rsidR="001C301F" w:rsidRPr="00AB0C4E">
              <w:rPr>
                <w:rFonts w:cstheme="minorHAnsi"/>
                <w:snapToGrid w:val="0"/>
                <w:lang w:val="en-GB"/>
              </w:rPr>
              <w:t>GTSE</w:t>
            </w:r>
            <w:proofErr w:type="spellEnd"/>
            <w:r w:rsidRPr="00AB0C4E">
              <w:rPr>
                <w:rFonts w:cstheme="minorHAnsi"/>
                <w:snapToGrid w:val="0"/>
                <w:lang w:val="en-GB"/>
              </w:rPr>
              <w:t xml:space="preserve"> is significant in comparison with the Company’s total carrying amount of goodwill, the following information about </w:t>
            </w:r>
            <w:proofErr w:type="spellStart"/>
            <w:r w:rsidR="001C301F" w:rsidRPr="00AB0C4E">
              <w:rPr>
                <w:rFonts w:cstheme="minorHAnsi"/>
                <w:snapToGrid w:val="0"/>
                <w:lang w:val="en-GB"/>
              </w:rPr>
              <w:t>GTSE</w:t>
            </w:r>
            <w:proofErr w:type="spellEnd"/>
            <w:r w:rsidRPr="00AB0C4E">
              <w:rPr>
                <w:rFonts w:cstheme="minorHAnsi"/>
                <w:snapToGrid w:val="0"/>
                <w:lang w:val="en-GB"/>
              </w:rPr>
              <w:t xml:space="preserve"> is disclosed:</w:t>
            </w:r>
          </w:p>
          <w:p w14:paraId="6ED626BB" w14:textId="77777777" w:rsidR="00606D82" w:rsidRPr="00AB0C4E" w:rsidRDefault="00606D82" w:rsidP="0008629A">
            <w:pPr>
              <w:ind w:left="540"/>
              <w:rPr>
                <w:rFonts w:cstheme="minorHAnsi"/>
                <w:snapToGrid w:val="0"/>
                <w:lang w:val="en-GB"/>
              </w:rPr>
            </w:pPr>
          </w:p>
          <w:p w14:paraId="078401CC" w14:textId="77777777" w:rsidR="00606D82" w:rsidRPr="00AB0C4E" w:rsidRDefault="00606D82" w:rsidP="00606D82">
            <w:pPr>
              <w:pStyle w:val="ListParagraph"/>
              <w:numPr>
                <w:ilvl w:val="0"/>
                <w:numId w:val="37"/>
              </w:numPr>
              <w:contextualSpacing/>
              <w:rPr>
                <w:rFonts w:cstheme="minorHAnsi"/>
                <w:snapToGrid w:val="0"/>
              </w:rPr>
            </w:pPr>
            <w:r w:rsidRPr="00AB0C4E">
              <w:rPr>
                <w:rFonts w:cstheme="minorHAnsi"/>
                <w:snapToGrid w:val="0"/>
              </w:rPr>
              <w:t>The recoverable amount was determined based on value in use, which utilises current budgets and cash flow projections as noted above, with the discount rate disclosed above.</w:t>
            </w:r>
          </w:p>
          <w:p w14:paraId="6E4592EC" w14:textId="77777777" w:rsidR="00606D82" w:rsidRPr="00AB0C4E" w:rsidRDefault="00606D82" w:rsidP="00606D82">
            <w:pPr>
              <w:pStyle w:val="ListParagraph"/>
              <w:numPr>
                <w:ilvl w:val="0"/>
                <w:numId w:val="37"/>
              </w:numPr>
              <w:contextualSpacing/>
              <w:rPr>
                <w:rFonts w:cstheme="minorHAnsi"/>
                <w:snapToGrid w:val="0"/>
              </w:rPr>
            </w:pPr>
            <w:r w:rsidRPr="00AB0C4E">
              <w:rPr>
                <w:rFonts w:cstheme="minorHAnsi"/>
                <w:snapToGrid w:val="0"/>
              </w:rPr>
              <w:t>The amount by which the recoverable amount exceeded the total carrying value (‘headroom’) is CU1,137,000.</w:t>
            </w:r>
          </w:p>
          <w:p w14:paraId="7E226131" w14:textId="1B7A51DF" w:rsidR="00606D82" w:rsidRDefault="00606D82" w:rsidP="00606D82">
            <w:pPr>
              <w:pStyle w:val="ListParagraph"/>
              <w:numPr>
                <w:ilvl w:val="0"/>
                <w:numId w:val="37"/>
              </w:numPr>
              <w:contextualSpacing/>
              <w:rPr>
                <w:rFonts w:cstheme="minorHAnsi"/>
                <w:snapToGrid w:val="0"/>
              </w:rPr>
            </w:pPr>
            <w:r w:rsidRPr="00AB0C4E">
              <w:rPr>
                <w:rFonts w:cstheme="minorHAnsi"/>
                <w:snapToGrid w:val="0"/>
              </w:rPr>
              <w:t>The amount by which the values assigned to key assumptions must change for the recoverable amount to be equal to the carrying value are (independent of one another):</w:t>
            </w:r>
          </w:p>
          <w:p w14:paraId="3EA399F3" w14:textId="24C2C5DE" w:rsidR="007B74D9" w:rsidRDefault="007B74D9" w:rsidP="007B74D9">
            <w:pPr>
              <w:contextualSpacing/>
              <w:rPr>
                <w:rFonts w:cstheme="minorHAnsi"/>
                <w:snapToGrid w:val="0"/>
              </w:rPr>
            </w:pPr>
          </w:p>
          <w:p w14:paraId="5F2DA585" w14:textId="5F3BA359" w:rsidR="007B74D9" w:rsidRDefault="007B74D9" w:rsidP="007B74D9">
            <w:pPr>
              <w:contextualSpacing/>
              <w:rPr>
                <w:rFonts w:cstheme="minorHAnsi"/>
                <w:snapToGrid w:val="0"/>
              </w:rPr>
            </w:pPr>
          </w:p>
          <w:p w14:paraId="0DF686F2" w14:textId="11B9FE68" w:rsidR="007B74D9" w:rsidRPr="00E34B15" w:rsidRDefault="007B74D9" w:rsidP="007B74D9">
            <w:pPr>
              <w:rPr>
                <w:rFonts w:cstheme="minorHAnsi"/>
                <w:i/>
                <w:iCs/>
                <w:snapToGrid w:val="0"/>
                <w:lang w:val="en-GB"/>
              </w:rPr>
            </w:pPr>
            <w:r w:rsidRPr="004263B7">
              <w:rPr>
                <w:rFonts w:cstheme="minorHAnsi"/>
                <w:i/>
                <w:iCs/>
                <w:snapToGrid w:val="0"/>
                <w:lang w:val="en-GB"/>
              </w:rPr>
              <w:lastRenderedPageBreak/>
              <w:t>(Continued…)</w:t>
            </w:r>
          </w:p>
          <w:p w14:paraId="293BAA6E" w14:textId="77777777" w:rsidR="007B74D9" w:rsidRPr="007B74D9" w:rsidRDefault="007B74D9" w:rsidP="00E34B15">
            <w:pPr>
              <w:contextualSpacing/>
              <w:rPr>
                <w:rFonts w:cstheme="minorHAnsi"/>
                <w:snapToGrid w:val="0"/>
              </w:rPr>
            </w:pPr>
          </w:p>
          <w:p w14:paraId="07F77F94" w14:textId="77777777" w:rsidR="00606D82" w:rsidRPr="00AB0C4E" w:rsidRDefault="00606D82" w:rsidP="00606D82">
            <w:pPr>
              <w:pStyle w:val="ListParagraph"/>
              <w:numPr>
                <w:ilvl w:val="1"/>
                <w:numId w:val="37"/>
              </w:numPr>
              <w:contextualSpacing/>
              <w:rPr>
                <w:rFonts w:cstheme="minorHAnsi"/>
                <w:snapToGrid w:val="0"/>
              </w:rPr>
            </w:pPr>
            <w:r w:rsidRPr="00AB0C4E">
              <w:rPr>
                <w:rFonts w:cstheme="minorHAnsi"/>
                <w:snapToGrid w:val="0"/>
              </w:rPr>
              <w:t>Increase in discount rate from 9.5% to 14%; or</w:t>
            </w:r>
          </w:p>
          <w:p w14:paraId="3CE5FE19" w14:textId="77777777" w:rsidR="00606D82" w:rsidRPr="00AB0C4E" w:rsidRDefault="00606D82" w:rsidP="00606D82">
            <w:pPr>
              <w:pStyle w:val="ListParagraph"/>
              <w:numPr>
                <w:ilvl w:val="1"/>
                <w:numId w:val="37"/>
              </w:numPr>
              <w:contextualSpacing/>
              <w:rPr>
                <w:rFonts w:cstheme="minorHAnsi"/>
                <w:snapToGrid w:val="0"/>
              </w:rPr>
            </w:pPr>
            <w:r w:rsidRPr="00AB0C4E">
              <w:rPr>
                <w:rFonts w:cstheme="minorHAnsi"/>
                <w:snapToGrid w:val="0"/>
              </w:rPr>
              <w:t>Adjustment in the assumptions used in the base case (i.e. the most likely case) cash flow scenario from (</w:t>
            </w:r>
            <w:proofErr w:type="spellStart"/>
            <w:r w:rsidRPr="00AB0C4E">
              <w:rPr>
                <w:rFonts w:cstheme="minorHAnsi"/>
                <w:snapToGrid w:val="0"/>
              </w:rPr>
              <w:t>i</w:t>
            </w:r>
            <w:proofErr w:type="spellEnd"/>
            <w:r w:rsidRPr="00AB0C4E">
              <w:rPr>
                <w:rFonts w:cstheme="minorHAnsi"/>
                <w:snapToGrid w:val="0"/>
              </w:rPr>
              <w:t xml:space="preserve">) to (ii): </w:t>
            </w:r>
          </w:p>
          <w:p w14:paraId="5E51DACC" w14:textId="77777777" w:rsidR="00606D82" w:rsidRPr="00AB0C4E" w:rsidRDefault="00606D82" w:rsidP="00606D82">
            <w:pPr>
              <w:pStyle w:val="ListParagraph"/>
              <w:numPr>
                <w:ilvl w:val="0"/>
                <w:numId w:val="38"/>
              </w:numPr>
              <w:ind w:left="2694" w:hanging="425"/>
              <w:contextualSpacing/>
              <w:rPr>
                <w:rFonts w:cstheme="minorHAnsi"/>
                <w:snapToGrid w:val="0"/>
              </w:rPr>
            </w:pPr>
            <w:r w:rsidRPr="00AB0C4E">
              <w:rPr>
                <w:rFonts w:cstheme="minorHAnsi"/>
                <w:snapToGrid w:val="0"/>
              </w:rPr>
              <w:t>16 weeks of closures and return to pre-pandemic consumer demand in September 2021;</w:t>
            </w:r>
          </w:p>
          <w:p w14:paraId="0543BC86" w14:textId="77777777" w:rsidR="00606D82" w:rsidRPr="00AB0C4E" w:rsidRDefault="00606D82" w:rsidP="00606D82">
            <w:pPr>
              <w:pStyle w:val="ListParagraph"/>
              <w:numPr>
                <w:ilvl w:val="0"/>
                <w:numId w:val="38"/>
              </w:numPr>
              <w:ind w:left="2694" w:hanging="425"/>
              <w:contextualSpacing/>
              <w:rPr>
                <w:rFonts w:cstheme="minorHAnsi"/>
                <w:snapToGrid w:val="0"/>
              </w:rPr>
            </w:pPr>
            <w:r w:rsidRPr="00AB0C4E">
              <w:rPr>
                <w:rFonts w:cstheme="minorHAnsi"/>
                <w:snapToGrid w:val="0"/>
              </w:rPr>
              <w:t xml:space="preserve">32 weeks of closures and return to pre-pandemic consumer demand in December 2021. </w:t>
            </w:r>
          </w:p>
        </w:tc>
      </w:tr>
      <w:tr w:rsidR="00606D82" w:rsidRPr="00AB0C4E" w14:paraId="314C45A3" w14:textId="77777777" w:rsidTr="0008629A">
        <w:tc>
          <w:tcPr>
            <w:tcW w:w="1469" w:type="dxa"/>
            <w:shd w:val="clear" w:color="auto" w:fill="FFFFFF" w:themeFill="background1"/>
          </w:tcPr>
          <w:p w14:paraId="3B0DBB0F" w14:textId="77777777" w:rsidR="00606D82" w:rsidRPr="00AB0C4E" w:rsidRDefault="00606D82" w:rsidP="0008629A">
            <w:pPr>
              <w:jc w:val="right"/>
              <w:rPr>
                <w:lang w:val="en-GB"/>
              </w:rPr>
            </w:pPr>
          </w:p>
        </w:tc>
        <w:tc>
          <w:tcPr>
            <w:tcW w:w="12524" w:type="dxa"/>
            <w:shd w:val="clear" w:color="auto" w:fill="FFFFFF" w:themeFill="background1"/>
          </w:tcPr>
          <w:p w14:paraId="18CDFC14" w14:textId="6A3E7584" w:rsidR="00606D82" w:rsidRPr="00AB0C4E" w:rsidRDefault="00606D82" w:rsidP="0008629A">
            <w:pPr>
              <w:rPr>
                <w:lang w:val="en-GB"/>
              </w:rPr>
            </w:pPr>
            <w:r w:rsidRPr="00AB0C4E">
              <w:rPr>
                <w:i/>
                <w:iCs/>
                <w:lang w:val="en-GB"/>
              </w:rPr>
              <w:t xml:space="preserve">Analysis: </w:t>
            </w:r>
            <w:r w:rsidR="00BC2041" w:rsidRPr="00AB0C4E">
              <w:rPr>
                <w:i/>
                <w:iCs/>
                <w:lang w:val="en-GB"/>
              </w:rPr>
              <w:t>despite the fact that no impairment was recorded</w:t>
            </w:r>
            <w:r w:rsidRPr="00AB0C4E">
              <w:rPr>
                <w:i/>
                <w:iCs/>
                <w:lang w:val="en-GB"/>
              </w:rPr>
              <w:t>, IAS 36.134-135 requires significant disclosures for determining the recoverable amount of cash-generating units containing goodwill or intangible assets with indefinite useful lives</w:t>
            </w:r>
            <w:r w:rsidR="00BC2041" w:rsidRPr="00AB0C4E">
              <w:rPr>
                <w:i/>
                <w:iCs/>
                <w:lang w:val="en-GB"/>
              </w:rPr>
              <w:t xml:space="preserve"> even if no impairment is recognised</w:t>
            </w:r>
            <w:r w:rsidRPr="00AB0C4E">
              <w:rPr>
                <w:i/>
                <w:iCs/>
                <w:lang w:val="en-GB"/>
              </w:rPr>
              <w:t xml:space="preserve">. </w:t>
            </w:r>
            <w:r w:rsidR="00A60B3F" w:rsidRPr="00AB0C4E">
              <w:rPr>
                <w:i/>
                <w:iCs/>
                <w:lang w:val="en-GB"/>
              </w:rPr>
              <w:t xml:space="preserve">In addition to the disclosure requirements of IAS 36, IAS 1’s requirements to disclose significant judgements and estimates may also require entities to make disclosures because a reasonably possible change in the estimates made may significantly affect the carrying value of assets (i.e. whether assets are impaired or by how much). </w:t>
            </w:r>
            <w:r w:rsidR="00F070C5" w:rsidRPr="00AB0C4E">
              <w:rPr>
                <w:i/>
                <w:iCs/>
                <w:lang w:val="en-GB"/>
              </w:rPr>
              <w:t xml:space="preserve">See B.8(c) for an example of disclosures when no impairment is recorded and the cash-generating units do not contain goodwill, therefore, the requirements of IAS 36.134-135 do not apply. </w:t>
            </w:r>
          </w:p>
        </w:tc>
      </w:tr>
    </w:tbl>
    <w:p w14:paraId="6541A36A" w14:textId="77777777" w:rsidR="00AB0097" w:rsidRPr="00AB0C4E" w:rsidRDefault="00AB0097" w:rsidP="006E22AC">
      <w:pPr>
        <w:rPr>
          <w:lang w:val="en-GB"/>
        </w:rPr>
      </w:pPr>
    </w:p>
    <w:tbl>
      <w:tblPr>
        <w:tblStyle w:val="TableGrid"/>
        <w:tblW w:w="13993" w:type="dxa"/>
        <w:tblLook w:val="04A0" w:firstRow="1" w:lastRow="0" w:firstColumn="1" w:lastColumn="0" w:noHBand="0" w:noVBand="1"/>
      </w:tblPr>
      <w:tblGrid>
        <w:gridCol w:w="13993"/>
      </w:tblGrid>
      <w:tr w:rsidR="00F070C5" w:rsidRPr="00AB0C4E" w14:paraId="2D2EB1A4" w14:textId="77777777" w:rsidTr="0008629A">
        <w:tc>
          <w:tcPr>
            <w:tcW w:w="13993" w:type="dxa"/>
            <w:shd w:val="clear" w:color="auto" w:fill="218F8B" w:themeFill="background2"/>
          </w:tcPr>
          <w:p w14:paraId="7EB7E6E5" w14:textId="0E69A243" w:rsidR="00F070C5" w:rsidRPr="00AB0C4E" w:rsidRDefault="00F070C5" w:rsidP="0008629A">
            <w:pPr>
              <w:rPr>
                <w:color w:val="FFFFFF" w:themeColor="background1"/>
                <w:lang w:val="en-GB"/>
              </w:rPr>
            </w:pPr>
            <w:r w:rsidRPr="00AB0C4E">
              <w:rPr>
                <w:color w:val="FFFFFF" w:themeColor="background1"/>
                <w:lang w:val="en-GB"/>
              </w:rPr>
              <w:t xml:space="preserve">B.8(c) – indicators of impairment exist, however, no impairment of assets is recorded (cash-generating units </w:t>
            </w:r>
            <w:r w:rsidRPr="00AB0C4E">
              <w:rPr>
                <w:color w:val="FFFFFF" w:themeColor="background1"/>
                <w:u w:val="single"/>
                <w:lang w:val="en-GB"/>
              </w:rPr>
              <w:t>do not</w:t>
            </w:r>
            <w:r w:rsidRPr="00AB0C4E">
              <w:rPr>
                <w:color w:val="FFFFFF" w:themeColor="background1"/>
                <w:lang w:val="en-GB"/>
              </w:rPr>
              <w:t xml:space="preserve"> contain goodwill)</w:t>
            </w:r>
          </w:p>
          <w:p w14:paraId="7021DD11" w14:textId="77777777" w:rsidR="00F070C5" w:rsidRPr="00AB0C4E" w:rsidRDefault="00F070C5" w:rsidP="0008629A">
            <w:pPr>
              <w:rPr>
                <w:color w:val="FFFFFF" w:themeColor="background1"/>
                <w:lang w:val="en-GB"/>
              </w:rPr>
            </w:pPr>
          </w:p>
          <w:p w14:paraId="5E2ADB5F" w14:textId="71191AD1" w:rsidR="00F070C5" w:rsidRPr="00AB0C4E" w:rsidRDefault="00F070C5" w:rsidP="0008629A">
            <w:pPr>
              <w:rPr>
                <w:color w:val="FFFFFF" w:themeColor="background1"/>
                <w:lang w:val="en-GB"/>
              </w:rPr>
            </w:pPr>
            <w:r w:rsidRPr="00AB0C4E">
              <w:rPr>
                <w:color w:val="FFFFFF" w:themeColor="background1"/>
                <w:lang w:val="en-GB"/>
              </w:rPr>
              <w:t>Additional information: the effects of COVID-19 have resulted in decreased sales, which management of Z Layout has identified as an indicator of impairment for its property, plant and equipment, right-of-use assets, and intangible assets. The impairment test results in the recoverable amount of all cash-generating units being higher than the carrying value for all cash-generating units, therefore, no impairment is recorded.</w:t>
            </w:r>
            <w:r w:rsidR="00556598">
              <w:rPr>
                <w:color w:val="FFFFFF" w:themeColor="background1"/>
                <w:lang w:val="en-GB"/>
              </w:rPr>
              <w:t xml:space="preserve"> </w:t>
            </w:r>
            <w:proofErr w:type="spellStart"/>
            <w:r w:rsidR="00556598">
              <w:rPr>
                <w:color w:val="FFFFFF" w:themeColor="background1"/>
                <w:lang w:val="en-GB"/>
              </w:rPr>
              <w:t>GTSE</w:t>
            </w:r>
            <w:proofErr w:type="spellEnd"/>
            <w:r w:rsidR="00556598">
              <w:rPr>
                <w:color w:val="FFFFFF" w:themeColor="background1"/>
                <w:lang w:val="en-GB"/>
              </w:rPr>
              <w:t xml:space="preserve"> and all other business lines were formed by Z Layout from inception, therefore, the financial statements do not contain goodwill.</w:t>
            </w:r>
            <w:r w:rsidRPr="00AB0C4E">
              <w:rPr>
                <w:color w:val="FFFFFF" w:themeColor="background1"/>
                <w:lang w:val="en-GB"/>
              </w:rPr>
              <w:t xml:space="preserve"> While the recoverable amount of all cash-generating units exceeds their carrying amounts, the excess (i.e. ‘headroom’) is not significant. A reasonably possible change in assumptions would result in impairment being recognised.  </w:t>
            </w:r>
          </w:p>
        </w:tc>
      </w:tr>
    </w:tbl>
    <w:tbl>
      <w:tblPr>
        <w:tblStyle w:val="TableGrid2"/>
        <w:tblW w:w="13993" w:type="dxa"/>
        <w:tblLook w:val="04A0" w:firstRow="1" w:lastRow="0" w:firstColumn="1" w:lastColumn="0" w:noHBand="0" w:noVBand="1"/>
      </w:tblPr>
      <w:tblGrid>
        <w:gridCol w:w="1469"/>
        <w:gridCol w:w="12524"/>
      </w:tblGrid>
      <w:tr w:rsidR="00F070C5" w:rsidRPr="00AB0C4E" w14:paraId="475627B0" w14:textId="77777777" w:rsidTr="0008629A">
        <w:tc>
          <w:tcPr>
            <w:tcW w:w="1469" w:type="dxa"/>
            <w:shd w:val="clear" w:color="auto" w:fill="657C91" w:themeFill="accent4"/>
          </w:tcPr>
          <w:p w14:paraId="7361AA28" w14:textId="77777777" w:rsidR="00F070C5" w:rsidRPr="00AB0C4E" w:rsidRDefault="00F070C5" w:rsidP="0008629A">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04C9A89C" w14:textId="77777777" w:rsidR="00F070C5" w:rsidRPr="00AB0C4E" w:rsidRDefault="00F070C5" w:rsidP="0008629A">
            <w:pPr>
              <w:rPr>
                <w:color w:val="FFFFFF" w:themeColor="background1"/>
                <w:lang w:val="en-GB"/>
              </w:rPr>
            </w:pPr>
            <w:r w:rsidRPr="00AB0C4E">
              <w:rPr>
                <w:color w:val="FFFFFF" w:themeColor="background1"/>
                <w:lang w:val="en-GB"/>
              </w:rPr>
              <w:t xml:space="preserve">Illustrative disclosure </w:t>
            </w:r>
          </w:p>
        </w:tc>
      </w:tr>
      <w:tr w:rsidR="00F070C5" w:rsidRPr="00AB0C4E" w14:paraId="0115F58C" w14:textId="77777777" w:rsidTr="0008629A">
        <w:tc>
          <w:tcPr>
            <w:tcW w:w="1469" w:type="dxa"/>
            <w:shd w:val="clear" w:color="auto" w:fill="FFFFFF" w:themeFill="background1"/>
          </w:tcPr>
          <w:p w14:paraId="320D86B0" w14:textId="77777777" w:rsidR="007B2CD5" w:rsidRDefault="007B2CD5" w:rsidP="007B2CD5">
            <w:pPr>
              <w:jc w:val="right"/>
              <w:rPr>
                <w:lang w:val="en-GB"/>
              </w:rPr>
            </w:pPr>
            <w:r>
              <w:rPr>
                <w:lang w:val="en-GB"/>
              </w:rPr>
              <w:t>IAS 1.122</w:t>
            </w:r>
          </w:p>
          <w:p w14:paraId="0F8C6AB9" w14:textId="77777777" w:rsidR="007B2CD5" w:rsidRDefault="007B2CD5" w:rsidP="007B2CD5">
            <w:pPr>
              <w:jc w:val="right"/>
              <w:rPr>
                <w:lang w:val="en-GB"/>
              </w:rPr>
            </w:pPr>
          </w:p>
          <w:p w14:paraId="7136C086" w14:textId="77777777" w:rsidR="007B2CD5" w:rsidRDefault="007B2CD5" w:rsidP="007B2CD5">
            <w:pPr>
              <w:jc w:val="right"/>
              <w:rPr>
                <w:lang w:val="en-GB"/>
              </w:rPr>
            </w:pPr>
          </w:p>
          <w:p w14:paraId="6DD0E077" w14:textId="77777777" w:rsidR="007B2CD5" w:rsidRDefault="007B2CD5" w:rsidP="007B2CD5">
            <w:pPr>
              <w:jc w:val="right"/>
              <w:rPr>
                <w:lang w:val="en-GB"/>
              </w:rPr>
            </w:pPr>
          </w:p>
          <w:p w14:paraId="15FE6448" w14:textId="77777777" w:rsidR="007B2CD5" w:rsidRDefault="007B2CD5" w:rsidP="007B2CD5">
            <w:pPr>
              <w:jc w:val="right"/>
              <w:rPr>
                <w:lang w:val="en-GB"/>
              </w:rPr>
            </w:pPr>
          </w:p>
          <w:p w14:paraId="1F563654" w14:textId="77777777" w:rsidR="007B2CD5" w:rsidRDefault="007B2CD5" w:rsidP="007B2CD5">
            <w:pPr>
              <w:jc w:val="right"/>
              <w:rPr>
                <w:lang w:val="en-GB"/>
              </w:rPr>
            </w:pPr>
          </w:p>
          <w:p w14:paraId="433BF99A" w14:textId="77777777" w:rsidR="007B2CD5" w:rsidRDefault="007B2CD5" w:rsidP="007B2CD5">
            <w:pPr>
              <w:jc w:val="right"/>
              <w:rPr>
                <w:lang w:val="en-GB"/>
              </w:rPr>
            </w:pPr>
          </w:p>
          <w:p w14:paraId="26489410" w14:textId="77777777" w:rsidR="007B2CD5" w:rsidRDefault="007B2CD5" w:rsidP="007B2CD5">
            <w:pPr>
              <w:jc w:val="right"/>
              <w:rPr>
                <w:lang w:val="en-GB"/>
              </w:rPr>
            </w:pPr>
          </w:p>
          <w:p w14:paraId="3EA3E4E2" w14:textId="77777777" w:rsidR="007B2CD5" w:rsidRDefault="007B2CD5" w:rsidP="007B2CD5">
            <w:pPr>
              <w:jc w:val="right"/>
              <w:rPr>
                <w:lang w:val="en-GB"/>
              </w:rPr>
            </w:pPr>
          </w:p>
          <w:p w14:paraId="313C11EB" w14:textId="77777777" w:rsidR="007B2CD5" w:rsidRDefault="007B2CD5" w:rsidP="007B2CD5">
            <w:pPr>
              <w:jc w:val="right"/>
              <w:rPr>
                <w:lang w:val="en-GB"/>
              </w:rPr>
            </w:pPr>
          </w:p>
          <w:p w14:paraId="4BB0C758" w14:textId="77777777" w:rsidR="007B2CD5" w:rsidRDefault="007B2CD5" w:rsidP="007B2CD5">
            <w:pPr>
              <w:jc w:val="right"/>
              <w:rPr>
                <w:lang w:val="en-GB"/>
              </w:rPr>
            </w:pPr>
          </w:p>
          <w:p w14:paraId="3A805CF1" w14:textId="77777777" w:rsidR="007B2CD5" w:rsidRDefault="007B2CD5" w:rsidP="007B2CD5">
            <w:pPr>
              <w:jc w:val="right"/>
              <w:rPr>
                <w:lang w:val="en-GB"/>
              </w:rPr>
            </w:pPr>
          </w:p>
          <w:p w14:paraId="15949867" w14:textId="77777777" w:rsidR="007B2CD5" w:rsidRDefault="007B2CD5" w:rsidP="007B2CD5">
            <w:pPr>
              <w:jc w:val="right"/>
              <w:rPr>
                <w:lang w:val="en-GB"/>
              </w:rPr>
            </w:pPr>
          </w:p>
          <w:p w14:paraId="2FEC4E24" w14:textId="77777777" w:rsidR="007B2CD5" w:rsidRDefault="007B2CD5" w:rsidP="007B2CD5">
            <w:pPr>
              <w:jc w:val="right"/>
              <w:rPr>
                <w:lang w:val="en-GB"/>
              </w:rPr>
            </w:pPr>
          </w:p>
          <w:p w14:paraId="6AB4401E" w14:textId="77777777" w:rsidR="007B2CD5" w:rsidRDefault="007B2CD5" w:rsidP="007B2CD5">
            <w:pPr>
              <w:jc w:val="right"/>
              <w:rPr>
                <w:lang w:val="en-GB"/>
              </w:rPr>
            </w:pPr>
          </w:p>
          <w:p w14:paraId="1FAF5C66" w14:textId="6133379E" w:rsidR="007B2CD5" w:rsidRDefault="007B2CD5" w:rsidP="007B2CD5">
            <w:pPr>
              <w:jc w:val="center"/>
              <w:rPr>
                <w:lang w:val="en-GB"/>
              </w:rPr>
            </w:pPr>
          </w:p>
          <w:p w14:paraId="04E99CB1" w14:textId="39135958" w:rsidR="007B74D9" w:rsidRDefault="007B74D9" w:rsidP="007B2CD5">
            <w:pPr>
              <w:jc w:val="center"/>
              <w:rPr>
                <w:lang w:val="en-GB"/>
              </w:rPr>
            </w:pPr>
          </w:p>
          <w:p w14:paraId="365758E4" w14:textId="77777777" w:rsidR="007B74D9" w:rsidRDefault="007B74D9" w:rsidP="007B2CD5">
            <w:pPr>
              <w:jc w:val="center"/>
              <w:rPr>
                <w:lang w:val="en-GB"/>
              </w:rPr>
            </w:pPr>
          </w:p>
          <w:p w14:paraId="1BFAC548" w14:textId="77777777" w:rsidR="007B2CD5" w:rsidRDefault="007B2CD5" w:rsidP="007B2CD5">
            <w:pPr>
              <w:jc w:val="center"/>
              <w:rPr>
                <w:lang w:val="en-GB"/>
              </w:rPr>
            </w:pPr>
          </w:p>
          <w:p w14:paraId="51078036" w14:textId="257887B4" w:rsidR="007B2CD5" w:rsidRDefault="007B2CD5" w:rsidP="007B2CD5">
            <w:pPr>
              <w:jc w:val="right"/>
              <w:rPr>
                <w:lang w:val="en-GB"/>
              </w:rPr>
            </w:pPr>
            <w:r>
              <w:rPr>
                <w:lang w:val="en-GB"/>
              </w:rPr>
              <w:t>IAS 1.129(a)</w:t>
            </w:r>
          </w:p>
          <w:p w14:paraId="074BDA9C" w14:textId="77777777" w:rsidR="007B2CD5" w:rsidRDefault="007B2CD5" w:rsidP="007B2CD5">
            <w:pPr>
              <w:jc w:val="right"/>
              <w:rPr>
                <w:lang w:val="en-GB"/>
              </w:rPr>
            </w:pPr>
          </w:p>
          <w:p w14:paraId="353553FE" w14:textId="77777777" w:rsidR="007B2CD5" w:rsidRDefault="007B2CD5" w:rsidP="007B2CD5">
            <w:pPr>
              <w:jc w:val="right"/>
              <w:rPr>
                <w:lang w:val="en-GB"/>
              </w:rPr>
            </w:pPr>
          </w:p>
          <w:p w14:paraId="1A8BB893" w14:textId="77777777" w:rsidR="007B2CD5" w:rsidRDefault="007B2CD5" w:rsidP="007B2CD5">
            <w:pPr>
              <w:jc w:val="right"/>
              <w:rPr>
                <w:lang w:val="en-GB"/>
              </w:rPr>
            </w:pPr>
          </w:p>
          <w:p w14:paraId="68FE64DA" w14:textId="77777777" w:rsidR="007B2CD5" w:rsidRDefault="007B2CD5" w:rsidP="007B2CD5">
            <w:pPr>
              <w:jc w:val="right"/>
              <w:rPr>
                <w:lang w:val="en-GB"/>
              </w:rPr>
            </w:pPr>
          </w:p>
          <w:p w14:paraId="19BD6ABC" w14:textId="77777777" w:rsidR="007B2CD5" w:rsidRDefault="007B2CD5" w:rsidP="007B2CD5">
            <w:pPr>
              <w:jc w:val="right"/>
              <w:rPr>
                <w:lang w:val="en-GB"/>
              </w:rPr>
            </w:pPr>
          </w:p>
          <w:p w14:paraId="2F39F909" w14:textId="77777777" w:rsidR="007B2CD5" w:rsidRDefault="007B2CD5" w:rsidP="007B2CD5">
            <w:pPr>
              <w:jc w:val="right"/>
              <w:rPr>
                <w:lang w:val="en-GB"/>
              </w:rPr>
            </w:pPr>
          </w:p>
          <w:p w14:paraId="2F5C576E" w14:textId="77777777" w:rsidR="007B2CD5" w:rsidRDefault="007B2CD5" w:rsidP="007B2CD5">
            <w:pPr>
              <w:jc w:val="right"/>
              <w:rPr>
                <w:lang w:val="en-GB"/>
              </w:rPr>
            </w:pPr>
          </w:p>
          <w:p w14:paraId="0F83CFD1" w14:textId="77777777" w:rsidR="007B2CD5" w:rsidRDefault="007B2CD5" w:rsidP="007B2CD5">
            <w:pPr>
              <w:jc w:val="right"/>
              <w:rPr>
                <w:lang w:val="en-GB"/>
              </w:rPr>
            </w:pPr>
          </w:p>
          <w:p w14:paraId="756D1374" w14:textId="77777777" w:rsidR="007B2CD5" w:rsidRDefault="007B2CD5" w:rsidP="007B2CD5">
            <w:pPr>
              <w:jc w:val="right"/>
              <w:rPr>
                <w:lang w:val="en-GB"/>
              </w:rPr>
            </w:pPr>
          </w:p>
          <w:p w14:paraId="5CCAF89E" w14:textId="77777777" w:rsidR="007B2CD5" w:rsidRDefault="007B2CD5" w:rsidP="007B2CD5">
            <w:pPr>
              <w:jc w:val="right"/>
              <w:rPr>
                <w:lang w:val="en-GB"/>
              </w:rPr>
            </w:pPr>
          </w:p>
          <w:p w14:paraId="1F66BE02" w14:textId="77777777" w:rsidR="007B2CD5" w:rsidRDefault="007B2CD5" w:rsidP="007B2CD5">
            <w:pPr>
              <w:jc w:val="right"/>
              <w:rPr>
                <w:lang w:val="en-GB"/>
              </w:rPr>
            </w:pPr>
          </w:p>
          <w:p w14:paraId="2268376D" w14:textId="77777777" w:rsidR="007B2CD5" w:rsidRDefault="007B2CD5" w:rsidP="007B2CD5">
            <w:pPr>
              <w:jc w:val="right"/>
              <w:rPr>
                <w:lang w:val="en-GB"/>
              </w:rPr>
            </w:pPr>
          </w:p>
          <w:p w14:paraId="41E458A0" w14:textId="77777777" w:rsidR="007B2CD5" w:rsidRDefault="007B2CD5" w:rsidP="007B2CD5">
            <w:pPr>
              <w:jc w:val="right"/>
              <w:rPr>
                <w:lang w:val="en-GB"/>
              </w:rPr>
            </w:pPr>
          </w:p>
          <w:p w14:paraId="686A914C" w14:textId="77777777" w:rsidR="007B2CD5" w:rsidRDefault="007B2CD5" w:rsidP="007B2CD5">
            <w:pPr>
              <w:jc w:val="right"/>
              <w:rPr>
                <w:lang w:val="en-GB"/>
              </w:rPr>
            </w:pPr>
          </w:p>
          <w:p w14:paraId="66147408" w14:textId="77777777" w:rsidR="007B2CD5" w:rsidRDefault="007B2CD5" w:rsidP="007B2CD5">
            <w:pPr>
              <w:jc w:val="right"/>
              <w:rPr>
                <w:lang w:val="en-GB"/>
              </w:rPr>
            </w:pPr>
          </w:p>
          <w:p w14:paraId="51FB12D5" w14:textId="77777777" w:rsidR="007B2CD5" w:rsidRDefault="007B2CD5" w:rsidP="007B2CD5">
            <w:pPr>
              <w:jc w:val="right"/>
              <w:rPr>
                <w:lang w:val="en-GB"/>
              </w:rPr>
            </w:pPr>
          </w:p>
          <w:p w14:paraId="48FEDDA2" w14:textId="77777777" w:rsidR="007B2CD5" w:rsidRDefault="007B2CD5" w:rsidP="007B2CD5">
            <w:pPr>
              <w:jc w:val="right"/>
              <w:rPr>
                <w:lang w:val="en-GB"/>
              </w:rPr>
            </w:pPr>
          </w:p>
          <w:p w14:paraId="6EF2663B" w14:textId="77777777" w:rsidR="007B2CD5" w:rsidRDefault="007B2CD5" w:rsidP="00E34B15">
            <w:pPr>
              <w:rPr>
                <w:lang w:val="en-GB"/>
              </w:rPr>
            </w:pPr>
          </w:p>
          <w:p w14:paraId="4956ADFC" w14:textId="4CD0524E" w:rsidR="007B2CD5" w:rsidRPr="00AB0C4E" w:rsidRDefault="007B2CD5" w:rsidP="007B2CD5">
            <w:pPr>
              <w:jc w:val="right"/>
              <w:rPr>
                <w:lang w:val="en-GB"/>
              </w:rPr>
            </w:pPr>
            <w:r>
              <w:rPr>
                <w:lang w:val="en-GB"/>
              </w:rPr>
              <w:t>IAS 1.129(b)</w:t>
            </w:r>
          </w:p>
        </w:tc>
        <w:tc>
          <w:tcPr>
            <w:tcW w:w="12524" w:type="dxa"/>
            <w:shd w:val="clear" w:color="auto" w:fill="FFFFFF" w:themeFill="background1"/>
          </w:tcPr>
          <w:p w14:paraId="1D5D7C9B" w14:textId="77777777" w:rsidR="00F070C5" w:rsidRPr="00AB0C4E" w:rsidRDefault="00F070C5" w:rsidP="0008629A">
            <w:pPr>
              <w:ind w:left="-18"/>
              <w:rPr>
                <w:rFonts w:cstheme="minorHAnsi"/>
                <w:snapToGrid w:val="0"/>
                <w:lang w:val="en-GB"/>
              </w:rPr>
            </w:pPr>
            <w:r w:rsidRPr="00AB0C4E">
              <w:rPr>
                <w:rFonts w:cstheme="minorHAnsi"/>
                <w:snapToGrid w:val="0"/>
                <w:lang w:val="en-GB"/>
              </w:rPr>
              <w:lastRenderedPageBreak/>
              <w:t>Most revenue streams have experienced significant reductions since the pandemic’s effects became widespread. The Company considered the reduced sales and reductions in budgeted revenue as indicators of impairment, and therefore determined the recoverable amount for all of its cash generating units. The recoverable amount is the higher of fair value less costs of disposal and value in use. Value in use was higher in all cases due to the nature of the assets included in the carrying amount of cash generating units.</w:t>
            </w:r>
          </w:p>
          <w:p w14:paraId="26821AE8" w14:textId="77777777" w:rsidR="00F070C5" w:rsidRPr="00AB0C4E" w:rsidRDefault="00F070C5" w:rsidP="0008629A">
            <w:pPr>
              <w:ind w:left="540"/>
              <w:rPr>
                <w:rFonts w:cstheme="minorHAnsi"/>
                <w:snapToGrid w:val="0"/>
                <w:lang w:val="en-GB"/>
              </w:rPr>
            </w:pPr>
          </w:p>
          <w:p w14:paraId="684EEC87" w14:textId="77777777" w:rsidR="00F070C5" w:rsidRPr="00AB0C4E" w:rsidRDefault="00F070C5" w:rsidP="0008629A">
            <w:pPr>
              <w:ind w:left="-18"/>
              <w:rPr>
                <w:rFonts w:cstheme="minorHAnsi"/>
                <w:snapToGrid w:val="0"/>
                <w:lang w:val="en-GB"/>
              </w:rPr>
            </w:pPr>
            <w:r w:rsidRPr="00AB0C4E">
              <w:rPr>
                <w:rFonts w:cstheme="minorHAnsi"/>
                <w:snapToGrid w:val="0"/>
                <w:lang w:val="en-GB"/>
              </w:rPr>
              <w:t>Groups of cash generating units are summarised as follows, with each Z Layout branded retail location and Great Times Sports Equipment representing a distinct cash generating unit:</w:t>
            </w:r>
          </w:p>
          <w:p w14:paraId="36D4E45D" w14:textId="77777777" w:rsidR="00F070C5" w:rsidRPr="00AB0C4E" w:rsidRDefault="00F070C5" w:rsidP="0008629A">
            <w:pPr>
              <w:ind w:left="540"/>
              <w:rPr>
                <w:rFonts w:cstheme="minorHAnsi"/>
                <w:snapToGrid w:val="0"/>
                <w:lang w:val="en-GB"/>
              </w:rPr>
            </w:pPr>
          </w:p>
          <w:p w14:paraId="20499E27" w14:textId="77777777" w:rsidR="00F070C5" w:rsidRPr="00AB0C4E" w:rsidRDefault="00F070C5" w:rsidP="00F070C5">
            <w:pPr>
              <w:pStyle w:val="ListParagraph"/>
              <w:numPr>
                <w:ilvl w:val="0"/>
                <w:numId w:val="35"/>
              </w:numPr>
              <w:contextualSpacing/>
              <w:rPr>
                <w:rFonts w:cstheme="minorHAnsi"/>
                <w:snapToGrid w:val="0"/>
              </w:rPr>
            </w:pPr>
            <w:r w:rsidRPr="00AB0C4E">
              <w:rPr>
                <w:rFonts w:cstheme="minorHAnsi"/>
                <w:snapToGrid w:val="0"/>
              </w:rPr>
              <w:t>Online sales function;</w:t>
            </w:r>
          </w:p>
          <w:p w14:paraId="4344F3E4" w14:textId="77777777" w:rsidR="00F070C5" w:rsidRPr="00AB0C4E" w:rsidRDefault="00F070C5" w:rsidP="00F070C5">
            <w:pPr>
              <w:pStyle w:val="ListParagraph"/>
              <w:numPr>
                <w:ilvl w:val="0"/>
                <w:numId w:val="35"/>
              </w:numPr>
              <w:contextualSpacing/>
              <w:rPr>
                <w:rFonts w:cstheme="minorHAnsi"/>
                <w:snapToGrid w:val="0"/>
              </w:rPr>
            </w:pPr>
            <w:r w:rsidRPr="00AB0C4E">
              <w:rPr>
                <w:rFonts w:cstheme="minorHAnsi"/>
                <w:snapToGrid w:val="0"/>
              </w:rPr>
              <w:t>Z Layout branded retail locations; and</w:t>
            </w:r>
          </w:p>
          <w:p w14:paraId="474D54BC" w14:textId="77777777" w:rsidR="00F070C5" w:rsidRPr="00AB0C4E" w:rsidRDefault="00F070C5" w:rsidP="00F070C5">
            <w:pPr>
              <w:pStyle w:val="ListParagraph"/>
              <w:numPr>
                <w:ilvl w:val="0"/>
                <w:numId w:val="35"/>
              </w:numPr>
              <w:contextualSpacing/>
              <w:rPr>
                <w:rFonts w:cstheme="minorHAnsi"/>
                <w:snapToGrid w:val="0"/>
              </w:rPr>
            </w:pPr>
            <w:r w:rsidRPr="00AB0C4E">
              <w:rPr>
                <w:rFonts w:cstheme="minorHAnsi"/>
                <w:snapToGrid w:val="0"/>
              </w:rPr>
              <w:t>Great Times Sports Equipment (</w:t>
            </w:r>
            <w:proofErr w:type="spellStart"/>
            <w:r w:rsidRPr="00AB0C4E">
              <w:rPr>
                <w:rFonts w:cstheme="minorHAnsi"/>
                <w:snapToGrid w:val="0"/>
              </w:rPr>
              <w:t>GTSE</w:t>
            </w:r>
            <w:proofErr w:type="spellEnd"/>
            <w:r w:rsidRPr="00AB0C4E">
              <w:rPr>
                <w:rFonts w:cstheme="minorHAnsi"/>
                <w:snapToGrid w:val="0"/>
              </w:rPr>
              <w:t>) retail locations, which were acquired in a business combination in 2018.</w:t>
            </w:r>
          </w:p>
          <w:p w14:paraId="7CB88124" w14:textId="77777777" w:rsidR="00F070C5" w:rsidRPr="00AB0C4E" w:rsidRDefault="00F070C5" w:rsidP="0008629A">
            <w:pPr>
              <w:ind w:left="540"/>
              <w:rPr>
                <w:rFonts w:cstheme="minorHAnsi"/>
                <w:snapToGrid w:val="0"/>
                <w:lang w:val="en-GB"/>
              </w:rPr>
            </w:pPr>
          </w:p>
          <w:p w14:paraId="3E464CDD" w14:textId="77777777" w:rsidR="007B74D9" w:rsidRDefault="007B74D9" w:rsidP="0008629A">
            <w:pPr>
              <w:ind w:left="-18"/>
              <w:rPr>
                <w:rFonts w:cstheme="minorHAnsi"/>
                <w:snapToGrid w:val="0"/>
                <w:lang w:val="en-GB"/>
              </w:rPr>
            </w:pPr>
          </w:p>
          <w:p w14:paraId="2EDBF939" w14:textId="77777777" w:rsidR="007B74D9" w:rsidRPr="004263B7" w:rsidRDefault="007B74D9" w:rsidP="007B74D9">
            <w:pPr>
              <w:rPr>
                <w:rFonts w:cstheme="minorHAnsi"/>
                <w:i/>
                <w:iCs/>
                <w:snapToGrid w:val="0"/>
                <w:lang w:val="en-GB"/>
              </w:rPr>
            </w:pPr>
            <w:r w:rsidRPr="004263B7">
              <w:rPr>
                <w:rFonts w:cstheme="minorHAnsi"/>
                <w:i/>
                <w:iCs/>
                <w:snapToGrid w:val="0"/>
                <w:lang w:val="en-GB"/>
              </w:rPr>
              <w:lastRenderedPageBreak/>
              <w:t>(Continued…)</w:t>
            </w:r>
          </w:p>
          <w:p w14:paraId="3555B0A5" w14:textId="77777777" w:rsidR="007B74D9" w:rsidRDefault="007B74D9" w:rsidP="0008629A">
            <w:pPr>
              <w:ind w:left="-18"/>
              <w:rPr>
                <w:rFonts w:cstheme="minorHAnsi"/>
                <w:snapToGrid w:val="0"/>
                <w:lang w:val="en-GB"/>
              </w:rPr>
            </w:pPr>
          </w:p>
          <w:p w14:paraId="05C867CD" w14:textId="77777777" w:rsidR="007B74D9" w:rsidRDefault="007B74D9" w:rsidP="0008629A">
            <w:pPr>
              <w:ind w:left="-18"/>
              <w:rPr>
                <w:rFonts w:cstheme="minorHAnsi"/>
                <w:snapToGrid w:val="0"/>
                <w:lang w:val="en-GB"/>
              </w:rPr>
            </w:pPr>
          </w:p>
          <w:p w14:paraId="4D3F41E8" w14:textId="6DC3A61C" w:rsidR="00F070C5" w:rsidRPr="00AB0C4E" w:rsidRDefault="00F070C5" w:rsidP="0008629A">
            <w:pPr>
              <w:ind w:left="-18"/>
              <w:rPr>
                <w:rFonts w:cstheme="minorHAnsi"/>
                <w:snapToGrid w:val="0"/>
                <w:lang w:val="en-GB"/>
              </w:rPr>
            </w:pPr>
            <w:r w:rsidRPr="00AB0C4E">
              <w:rPr>
                <w:rFonts w:cstheme="minorHAnsi"/>
                <w:snapToGrid w:val="0"/>
                <w:lang w:val="en-GB"/>
              </w:rPr>
              <w:t>Recoverable amount exceeded the carrying amount of all cash generating units based on forecast cash flows for all cash-generating units. The cash flow forecasts are based on budgets for the next 5 years, with a terminal value thereafter. The cash flows were probability weighted based on the following scenarios:</w:t>
            </w:r>
          </w:p>
          <w:p w14:paraId="0ED036A1" w14:textId="77777777" w:rsidR="00F070C5" w:rsidRPr="00AB0C4E" w:rsidRDefault="00F070C5" w:rsidP="0008629A">
            <w:pPr>
              <w:ind w:left="540"/>
              <w:rPr>
                <w:rFonts w:cstheme="minorHAnsi"/>
                <w:snapToGrid w:val="0"/>
                <w:lang w:val="en-GB"/>
              </w:rPr>
            </w:pPr>
          </w:p>
          <w:p w14:paraId="64CC6DB1" w14:textId="77777777" w:rsidR="00F070C5" w:rsidRPr="00AB0C4E" w:rsidRDefault="00F070C5" w:rsidP="00F070C5">
            <w:pPr>
              <w:pStyle w:val="ListParagraph"/>
              <w:numPr>
                <w:ilvl w:val="0"/>
                <w:numId w:val="36"/>
              </w:numPr>
              <w:ind w:left="1276"/>
              <w:contextualSpacing/>
              <w:rPr>
                <w:rFonts w:cstheme="minorHAnsi"/>
                <w:snapToGrid w:val="0"/>
              </w:rPr>
            </w:pPr>
            <w:r w:rsidRPr="00AB0C4E">
              <w:rPr>
                <w:rFonts w:cstheme="minorHAnsi"/>
                <w:snapToGrid w:val="0"/>
              </w:rPr>
              <w:t>Base case (50% weighting): stores remain closed for 16 weeks, with consumer demand not returning to pre-pandemic levels until September 2021, resulting in a significant effect on most of the summer selling season.</w:t>
            </w:r>
          </w:p>
          <w:p w14:paraId="119909C7" w14:textId="77777777" w:rsidR="00F070C5" w:rsidRPr="00AB0C4E" w:rsidRDefault="00F070C5" w:rsidP="00F070C5">
            <w:pPr>
              <w:pStyle w:val="ListParagraph"/>
              <w:numPr>
                <w:ilvl w:val="0"/>
                <w:numId w:val="36"/>
              </w:numPr>
              <w:ind w:left="1276"/>
              <w:contextualSpacing/>
              <w:rPr>
                <w:rFonts w:cstheme="minorHAnsi"/>
                <w:snapToGrid w:val="0"/>
              </w:rPr>
            </w:pPr>
            <w:r w:rsidRPr="00AB0C4E">
              <w:rPr>
                <w:rFonts w:cstheme="minorHAnsi"/>
                <w:snapToGrid w:val="0"/>
              </w:rPr>
              <w:t xml:space="preserve">Positive case (20% weighting): stores remain closed for 8 weeks, with consumer demand returning to pre-pandemic levels by June 2021, in time for the summer selling season. </w:t>
            </w:r>
          </w:p>
          <w:p w14:paraId="3718CF0A" w14:textId="77777777" w:rsidR="00F070C5" w:rsidRPr="00AB0C4E" w:rsidRDefault="00F070C5" w:rsidP="00F070C5">
            <w:pPr>
              <w:pStyle w:val="ListParagraph"/>
              <w:numPr>
                <w:ilvl w:val="0"/>
                <w:numId w:val="36"/>
              </w:numPr>
              <w:ind w:left="1276"/>
              <w:contextualSpacing/>
              <w:rPr>
                <w:rFonts w:cstheme="minorHAnsi"/>
                <w:snapToGrid w:val="0"/>
              </w:rPr>
            </w:pPr>
            <w:r w:rsidRPr="00AB0C4E">
              <w:rPr>
                <w:rFonts w:cstheme="minorHAnsi"/>
                <w:snapToGrid w:val="0"/>
              </w:rPr>
              <w:t>Negative case (20% weighting): stores remain closed for 24 weeks, with consumer demand not returning to pre-pandemic levels until December 2021.</w:t>
            </w:r>
          </w:p>
          <w:p w14:paraId="4DCB91DE" w14:textId="77777777" w:rsidR="00F070C5" w:rsidRPr="00AB0C4E" w:rsidRDefault="00F070C5" w:rsidP="00F070C5">
            <w:pPr>
              <w:pStyle w:val="ListParagraph"/>
              <w:numPr>
                <w:ilvl w:val="0"/>
                <w:numId w:val="36"/>
              </w:numPr>
              <w:ind w:left="1276"/>
              <w:contextualSpacing/>
              <w:rPr>
                <w:rFonts w:cstheme="minorHAnsi"/>
                <w:snapToGrid w:val="0"/>
              </w:rPr>
            </w:pPr>
            <w:r w:rsidRPr="00AB0C4E">
              <w:rPr>
                <w:rFonts w:cstheme="minorHAnsi"/>
                <w:snapToGrid w:val="0"/>
              </w:rPr>
              <w:t xml:space="preserve">Worst case (10% weighting): stores remain closed for 40 weeks, causing significant disruptions to the 2021 Christmas selling season, with consumer demand not returning to pre-pandemic levels until March 2022. </w:t>
            </w:r>
          </w:p>
          <w:p w14:paraId="15A7C652" w14:textId="77777777" w:rsidR="00F070C5" w:rsidRPr="00AB0C4E" w:rsidRDefault="00F070C5" w:rsidP="0008629A">
            <w:pPr>
              <w:rPr>
                <w:rFonts w:cstheme="minorHAnsi"/>
                <w:snapToGrid w:val="0"/>
                <w:lang w:val="en-GB"/>
              </w:rPr>
            </w:pPr>
          </w:p>
          <w:p w14:paraId="606FF501" w14:textId="77777777" w:rsidR="00F070C5" w:rsidRPr="00AB0C4E" w:rsidRDefault="00F070C5" w:rsidP="0008629A">
            <w:pPr>
              <w:rPr>
                <w:rFonts w:cstheme="minorHAnsi"/>
                <w:snapToGrid w:val="0"/>
                <w:lang w:val="en-GB"/>
              </w:rPr>
            </w:pPr>
            <w:r w:rsidRPr="00AB0C4E">
              <w:rPr>
                <w:rFonts w:cstheme="minorHAnsi"/>
                <w:snapToGrid w:val="0"/>
                <w:lang w:val="en-GB"/>
              </w:rPr>
              <w:t xml:space="preserve">The terminal value includes a growth rate of 2.5%, which is the average long-term growth rate for the Company’s industry. </w:t>
            </w:r>
          </w:p>
          <w:p w14:paraId="42171090" w14:textId="77777777" w:rsidR="00F070C5" w:rsidRPr="00AB0C4E" w:rsidRDefault="00F070C5" w:rsidP="0008629A">
            <w:pPr>
              <w:ind w:left="540"/>
              <w:rPr>
                <w:rFonts w:cstheme="minorHAnsi"/>
                <w:snapToGrid w:val="0"/>
                <w:lang w:val="en-GB"/>
              </w:rPr>
            </w:pPr>
          </w:p>
          <w:p w14:paraId="09E33F0E" w14:textId="77777777" w:rsidR="00F070C5" w:rsidRPr="00AB0C4E" w:rsidRDefault="00F070C5" w:rsidP="0008629A">
            <w:pPr>
              <w:rPr>
                <w:rFonts w:cstheme="minorHAnsi"/>
                <w:snapToGrid w:val="0"/>
                <w:lang w:val="en-GB"/>
              </w:rPr>
            </w:pPr>
            <w:r w:rsidRPr="00AB0C4E">
              <w:rPr>
                <w:rFonts w:cstheme="minorHAnsi"/>
                <w:snapToGrid w:val="0"/>
                <w:lang w:val="en-GB"/>
              </w:rPr>
              <w:t xml:space="preserve">These cash flow projections were weighted as noted above for all cash generating units except for those related to </w:t>
            </w:r>
            <w:proofErr w:type="spellStart"/>
            <w:r w:rsidRPr="00AB0C4E">
              <w:rPr>
                <w:rFonts w:cstheme="minorHAnsi"/>
                <w:snapToGrid w:val="0"/>
                <w:lang w:val="en-GB"/>
              </w:rPr>
              <w:t>GTSE</w:t>
            </w:r>
            <w:proofErr w:type="spellEnd"/>
            <w:r w:rsidRPr="00AB0C4E">
              <w:rPr>
                <w:rFonts w:cstheme="minorHAnsi"/>
                <w:snapToGrid w:val="0"/>
                <w:lang w:val="en-GB"/>
              </w:rPr>
              <w:t xml:space="preserve">, where the negative case was weighted 40% and the positive case was weighted 0%. This is due to expectations that </w:t>
            </w:r>
            <w:proofErr w:type="spellStart"/>
            <w:r w:rsidRPr="00AB0C4E">
              <w:rPr>
                <w:rFonts w:cstheme="minorHAnsi"/>
                <w:snapToGrid w:val="0"/>
                <w:lang w:val="en-GB"/>
              </w:rPr>
              <w:t>GTSE’s</w:t>
            </w:r>
            <w:proofErr w:type="spellEnd"/>
            <w:r w:rsidRPr="00AB0C4E">
              <w:rPr>
                <w:rFonts w:cstheme="minorHAnsi"/>
                <w:snapToGrid w:val="0"/>
                <w:lang w:val="en-GB"/>
              </w:rPr>
              <w:t xml:space="preserve"> product lines will take longer to return to pre-pandemic demand than other cash generating units and </w:t>
            </w:r>
            <w:proofErr w:type="spellStart"/>
            <w:r w:rsidRPr="00AB0C4E">
              <w:rPr>
                <w:rFonts w:cstheme="minorHAnsi"/>
                <w:snapToGrid w:val="0"/>
                <w:lang w:val="en-GB"/>
              </w:rPr>
              <w:t>GTSE’s</w:t>
            </w:r>
            <w:proofErr w:type="spellEnd"/>
            <w:r w:rsidRPr="00AB0C4E">
              <w:rPr>
                <w:rFonts w:cstheme="minorHAnsi"/>
                <w:snapToGrid w:val="0"/>
                <w:lang w:val="en-GB"/>
              </w:rPr>
              <w:t xml:space="preserve"> locations being more significantly affected by government-imposed lockdowns. </w:t>
            </w:r>
          </w:p>
          <w:p w14:paraId="6DF6AE49" w14:textId="77777777" w:rsidR="00F070C5" w:rsidRPr="00AB0C4E" w:rsidRDefault="00F070C5" w:rsidP="0008629A">
            <w:pPr>
              <w:rPr>
                <w:rFonts w:cstheme="minorHAnsi"/>
                <w:snapToGrid w:val="0"/>
                <w:lang w:val="en-GB"/>
              </w:rPr>
            </w:pPr>
          </w:p>
          <w:p w14:paraId="2B891B2F" w14:textId="77777777" w:rsidR="00F070C5" w:rsidRPr="00AB0C4E" w:rsidRDefault="00F070C5" w:rsidP="0008629A">
            <w:pPr>
              <w:rPr>
                <w:rFonts w:cstheme="minorHAnsi"/>
                <w:snapToGrid w:val="0"/>
                <w:lang w:val="en-GB"/>
              </w:rPr>
            </w:pPr>
            <w:r w:rsidRPr="00AB0C4E">
              <w:rPr>
                <w:rFonts w:cstheme="minorHAnsi"/>
                <w:snapToGrid w:val="0"/>
                <w:lang w:val="en-GB"/>
              </w:rPr>
              <w:t xml:space="preserve">The cash flows were discounted at a rate of 9.5%, which reflects the time value of money and risks specific to the Company’s industry, which were not reflected in the value in use cash flows.  </w:t>
            </w:r>
          </w:p>
          <w:p w14:paraId="5EF4AFE0" w14:textId="77777777" w:rsidR="00F070C5" w:rsidRPr="00AB0C4E" w:rsidRDefault="00F070C5" w:rsidP="0008629A">
            <w:pPr>
              <w:rPr>
                <w:rFonts w:cstheme="minorHAnsi"/>
                <w:snapToGrid w:val="0"/>
                <w:lang w:val="en-GB"/>
              </w:rPr>
            </w:pPr>
          </w:p>
          <w:p w14:paraId="6C0C1C2F" w14:textId="77777777" w:rsidR="00F070C5" w:rsidRPr="00AB0C4E" w:rsidRDefault="00F070C5" w:rsidP="0008629A">
            <w:pPr>
              <w:rPr>
                <w:rFonts w:cstheme="minorHAnsi"/>
                <w:snapToGrid w:val="0"/>
                <w:lang w:val="en-GB"/>
              </w:rPr>
            </w:pPr>
            <w:r w:rsidRPr="00AB0C4E">
              <w:rPr>
                <w:rFonts w:cstheme="minorHAnsi"/>
                <w:snapToGrid w:val="0"/>
                <w:lang w:val="en-GB"/>
              </w:rPr>
              <w:t xml:space="preserve">The recoverable amount exceeded the carrying amount for the Company’s cash generating units, however, as the carrying amount of goodwill allocated to </w:t>
            </w:r>
            <w:proofErr w:type="spellStart"/>
            <w:r w:rsidRPr="00AB0C4E">
              <w:rPr>
                <w:rFonts w:cstheme="minorHAnsi"/>
                <w:snapToGrid w:val="0"/>
                <w:lang w:val="en-GB"/>
              </w:rPr>
              <w:t>GTSE</w:t>
            </w:r>
            <w:proofErr w:type="spellEnd"/>
            <w:r w:rsidRPr="00AB0C4E">
              <w:rPr>
                <w:rFonts w:cstheme="minorHAnsi"/>
                <w:snapToGrid w:val="0"/>
                <w:lang w:val="en-GB"/>
              </w:rPr>
              <w:t xml:space="preserve"> is significant in comparison with the Company’s total carrying amount of goodwill, the following information about </w:t>
            </w:r>
            <w:proofErr w:type="spellStart"/>
            <w:r w:rsidRPr="00AB0C4E">
              <w:rPr>
                <w:rFonts w:cstheme="minorHAnsi"/>
                <w:snapToGrid w:val="0"/>
                <w:lang w:val="en-GB"/>
              </w:rPr>
              <w:t>GTSE</w:t>
            </w:r>
            <w:proofErr w:type="spellEnd"/>
            <w:r w:rsidRPr="00AB0C4E">
              <w:rPr>
                <w:rFonts w:cstheme="minorHAnsi"/>
                <w:snapToGrid w:val="0"/>
                <w:lang w:val="en-GB"/>
              </w:rPr>
              <w:t xml:space="preserve"> is disclosed:</w:t>
            </w:r>
          </w:p>
          <w:p w14:paraId="27A221EC" w14:textId="77777777" w:rsidR="00F070C5" w:rsidRPr="00AB0C4E" w:rsidRDefault="00F070C5" w:rsidP="0008629A">
            <w:pPr>
              <w:ind w:left="540"/>
              <w:rPr>
                <w:rFonts w:cstheme="minorHAnsi"/>
                <w:snapToGrid w:val="0"/>
                <w:lang w:val="en-GB"/>
              </w:rPr>
            </w:pPr>
          </w:p>
          <w:p w14:paraId="11FC357A" w14:textId="77777777" w:rsidR="00F070C5" w:rsidRPr="00AB0C4E" w:rsidRDefault="00F070C5" w:rsidP="00F070C5">
            <w:pPr>
              <w:pStyle w:val="ListParagraph"/>
              <w:numPr>
                <w:ilvl w:val="0"/>
                <w:numId w:val="37"/>
              </w:numPr>
              <w:contextualSpacing/>
              <w:rPr>
                <w:rFonts w:cstheme="minorHAnsi"/>
                <w:snapToGrid w:val="0"/>
              </w:rPr>
            </w:pPr>
            <w:r w:rsidRPr="00AB0C4E">
              <w:rPr>
                <w:rFonts w:cstheme="minorHAnsi"/>
                <w:snapToGrid w:val="0"/>
              </w:rPr>
              <w:t>The recoverable amount was determined based on value in use, which utilises current budgets and cash flow projections as noted above, with the discount rate disclosed above.</w:t>
            </w:r>
          </w:p>
          <w:p w14:paraId="139C3B86" w14:textId="77777777" w:rsidR="00F070C5" w:rsidRPr="00AB0C4E" w:rsidRDefault="00F070C5" w:rsidP="00F070C5">
            <w:pPr>
              <w:pStyle w:val="ListParagraph"/>
              <w:numPr>
                <w:ilvl w:val="0"/>
                <w:numId w:val="37"/>
              </w:numPr>
              <w:contextualSpacing/>
              <w:rPr>
                <w:rFonts w:cstheme="minorHAnsi"/>
                <w:snapToGrid w:val="0"/>
              </w:rPr>
            </w:pPr>
            <w:r w:rsidRPr="00AB0C4E">
              <w:rPr>
                <w:rFonts w:cstheme="minorHAnsi"/>
                <w:snapToGrid w:val="0"/>
              </w:rPr>
              <w:t>The amount by which the recoverable amount exceeded the total carrying value (‘headroom’) is CU1,137,000.</w:t>
            </w:r>
          </w:p>
          <w:p w14:paraId="6BA451FA" w14:textId="77777777" w:rsidR="00F070C5" w:rsidRPr="00AB0C4E" w:rsidRDefault="00F070C5" w:rsidP="00F070C5">
            <w:pPr>
              <w:pStyle w:val="ListParagraph"/>
              <w:numPr>
                <w:ilvl w:val="0"/>
                <w:numId w:val="37"/>
              </w:numPr>
              <w:contextualSpacing/>
              <w:rPr>
                <w:rFonts w:cstheme="minorHAnsi"/>
                <w:snapToGrid w:val="0"/>
              </w:rPr>
            </w:pPr>
            <w:r w:rsidRPr="00AB0C4E">
              <w:rPr>
                <w:rFonts w:cstheme="minorHAnsi"/>
                <w:snapToGrid w:val="0"/>
              </w:rPr>
              <w:t>The amount by which the values assigned to key assumptions must change for the recoverable amount to be equal to the carrying value are (independent of one another):</w:t>
            </w:r>
          </w:p>
          <w:p w14:paraId="19E9DCE8" w14:textId="5B77604B" w:rsidR="00F070C5" w:rsidRDefault="00F070C5" w:rsidP="00F070C5">
            <w:pPr>
              <w:pStyle w:val="ListParagraph"/>
              <w:numPr>
                <w:ilvl w:val="1"/>
                <w:numId w:val="37"/>
              </w:numPr>
              <w:contextualSpacing/>
              <w:rPr>
                <w:rFonts w:cstheme="minorHAnsi"/>
                <w:snapToGrid w:val="0"/>
              </w:rPr>
            </w:pPr>
            <w:r w:rsidRPr="00AB0C4E">
              <w:rPr>
                <w:rFonts w:cstheme="minorHAnsi"/>
                <w:snapToGrid w:val="0"/>
              </w:rPr>
              <w:t>Increase in discount rate from 9.5% to 14%; or</w:t>
            </w:r>
          </w:p>
          <w:p w14:paraId="0DB60AA5" w14:textId="53F910A1" w:rsidR="007B74D9" w:rsidRDefault="007B74D9" w:rsidP="007B74D9">
            <w:pPr>
              <w:contextualSpacing/>
              <w:rPr>
                <w:rFonts w:cstheme="minorHAnsi"/>
                <w:snapToGrid w:val="0"/>
              </w:rPr>
            </w:pPr>
          </w:p>
          <w:p w14:paraId="14FFCECA" w14:textId="77777777" w:rsidR="007B74D9" w:rsidRPr="007B74D9" w:rsidRDefault="007B74D9" w:rsidP="00E34B15">
            <w:pPr>
              <w:contextualSpacing/>
              <w:rPr>
                <w:rFonts w:cstheme="minorHAnsi"/>
                <w:snapToGrid w:val="0"/>
              </w:rPr>
            </w:pPr>
          </w:p>
          <w:p w14:paraId="672B401E" w14:textId="34D0B144" w:rsidR="007B74D9" w:rsidRPr="00E34B15" w:rsidRDefault="007B74D9" w:rsidP="007B74D9">
            <w:pPr>
              <w:rPr>
                <w:rFonts w:cstheme="minorHAnsi"/>
                <w:i/>
                <w:iCs/>
                <w:snapToGrid w:val="0"/>
                <w:lang w:val="en-GB"/>
              </w:rPr>
            </w:pPr>
            <w:r w:rsidRPr="004263B7">
              <w:rPr>
                <w:rFonts w:cstheme="minorHAnsi"/>
                <w:i/>
                <w:iCs/>
                <w:snapToGrid w:val="0"/>
                <w:lang w:val="en-GB"/>
              </w:rPr>
              <w:lastRenderedPageBreak/>
              <w:t>(Continued…)</w:t>
            </w:r>
          </w:p>
          <w:p w14:paraId="6C462EE0" w14:textId="77777777" w:rsidR="007B74D9" w:rsidRPr="007B74D9" w:rsidRDefault="007B74D9" w:rsidP="00E34B15">
            <w:pPr>
              <w:contextualSpacing/>
              <w:rPr>
                <w:rFonts w:cstheme="minorHAnsi"/>
                <w:snapToGrid w:val="0"/>
              </w:rPr>
            </w:pPr>
          </w:p>
          <w:p w14:paraId="3BCC7823" w14:textId="237F56A2" w:rsidR="00F070C5" w:rsidRPr="00AB0C4E" w:rsidRDefault="00F070C5" w:rsidP="00F070C5">
            <w:pPr>
              <w:pStyle w:val="ListParagraph"/>
              <w:numPr>
                <w:ilvl w:val="1"/>
                <w:numId w:val="37"/>
              </w:numPr>
              <w:contextualSpacing/>
              <w:rPr>
                <w:rFonts w:cstheme="minorHAnsi"/>
                <w:snapToGrid w:val="0"/>
              </w:rPr>
            </w:pPr>
            <w:r w:rsidRPr="00AB0C4E">
              <w:rPr>
                <w:rFonts w:cstheme="minorHAnsi"/>
                <w:snapToGrid w:val="0"/>
              </w:rPr>
              <w:t>Adjustment in the assumptions used in the base case (i.e. the most likely case) cash flow scenario from (</w:t>
            </w:r>
            <w:proofErr w:type="spellStart"/>
            <w:r w:rsidRPr="00AB0C4E">
              <w:rPr>
                <w:rFonts w:cstheme="minorHAnsi"/>
                <w:snapToGrid w:val="0"/>
              </w:rPr>
              <w:t>i</w:t>
            </w:r>
            <w:proofErr w:type="spellEnd"/>
            <w:r w:rsidRPr="00AB0C4E">
              <w:rPr>
                <w:rFonts w:cstheme="minorHAnsi"/>
                <w:snapToGrid w:val="0"/>
              </w:rPr>
              <w:t xml:space="preserve">) to (ii): </w:t>
            </w:r>
          </w:p>
          <w:p w14:paraId="2E29B7F9" w14:textId="77777777" w:rsidR="00F070C5" w:rsidRPr="00AB0C4E" w:rsidRDefault="00F070C5" w:rsidP="00F070C5">
            <w:pPr>
              <w:pStyle w:val="ListParagraph"/>
              <w:numPr>
                <w:ilvl w:val="0"/>
                <w:numId w:val="38"/>
              </w:numPr>
              <w:ind w:left="2694" w:hanging="425"/>
              <w:contextualSpacing/>
              <w:rPr>
                <w:rFonts w:cstheme="minorHAnsi"/>
                <w:snapToGrid w:val="0"/>
              </w:rPr>
            </w:pPr>
            <w:r w:rsidRPr="00AB0C4E">
              <w:rPr>
                <w:rFonts w:cstheme="minorHAnsi"/>
                <w:snapToGrid w:val="0"/>
              </w:rPr>
              <w:t>16 weeks of closures and return to pre-pandemic consumer demand in September 2021;</w:t>
            </w:r>
          </w:p>
          <w:p w14:paraId="11839C75" w14:textId="77777777" w:rsidR="00F070C5" w:rsidRPr="00AB0C4E" w:rsidRDefault="00F070C5" w:rsidP="00F070C5">
            <w:pPr>
              <w:pStyle w:val="ListParagraph"/>
              <w:numPr>
                <w:ilvl w:val="0"/>
                <w:numId w:val="38"/>
              </w:numPr>
              <w:ind w:left="2694" w:hanging="425"/>
              <w:contextualSpacing/>
              <w:rPr>
                <w:rFonts w:cstheme="minorHAnsi"/>
                <w:snapToGrid w:val="0"/>
              </w:rPr>
            </w:pPr>
            <w:r w:rsidRPr="00AB0C4E">
              <w:rPr>
                <w:rFonts w:cstheme="minorHAnsi"/>
                <w:snapToGrid w:val="0"/>
              </w:rPr>
              <w:t xml:space="preserve">32 weeks of closures and return to pre-pandemic consumer demand in December 2021. </w:t>
            </w:r>
          </w:p>
        </w:tc>
      </w:tr>
      <w:tr w:rsidR="00F070C5" w:rsidRPr="00AB0C4E" w14:paraId="45AC9BAB" w14:textId="77777777" w:rsidTr="0008629A">
        <w:tc>
          <w:tcPr>
            <w:tcW w:w="1469" w:type="dxa"/>
            <w:shd w:val="clear" w:color="auto" w:fill="FFFFFF" w:themeFill="background1"/>
          </w:tcPr>
          <w:p w14:paraId="4279A273" w14:textId="77777777" w:rsidR="00F070C5" w:rsidRPr="00AB0C4E" w:rsidRDefault="00F070C5" w:rsidP="0008629A">
            <w:pPr>
              <w:jc w:val="right"/>
              <w:rPr>
                <w:lang w:val="en-GB"/>
              </w:rPr>
            </w:pPr>
          </w:p>
        </w:tc>
        <w:tc>
          <w:tcPr>
            <w:tcW w:w="12524" w:type="dxa"/>
            <w:shd w:val="clear" w:color="auto" w:fill="FFFFFF" w:themeFill="background1"/>
          </w:tcPr>
          <w:p w14:paraId="4F59DE29" w14:textId="68C0B2E8" w:rsidR="00F070C5" w:rsidRPr="00AB0C4E" w:rsidRDefault="00F070C5" w:rsidP="0008629A">
            <w:pPr>
              <w:rPr>
                <w:i/>
                <w:iCs/>
                <w:lang w:val="en-GB"/>
              </w:rPr>
            </w:pPr>
            <w:r w:rsidRPr="00AB0C4E">
              <w:rPr>
                <w:i/>
                <w:iCs/>
                <w:lang w:val="en-GB"/>
              </w:rPr>
              <w:t>Analysis:</w:t>
            </w:r>
            <w:r w:rsidR="00483D7C" w:rsidRPr="00AB0C4E">
              <w:rPr>
                <w:i/>
                <w:iCs/>
                <w:lang w:val="en-GB"/>
              </w:rPr>
              <w:t xml:space="preserve"> no impairment has been recognised, therefore, the disclosure requirements of IAS 36.126-133 do not apply and none of the cash-generating units contain goodwill or intangible assets with indefinite useful lives, therefore, the disclosure requirements of IAS 36.134-135 do not apply. Management of Z Layout considered the fact that the recoverable amount of its cash-generating units exceeded their carrying amounts, however, the excess (i.e. ‘headroom’) is not significant, and minor adjustments to assumptions would result in an impairment loss. Therefore, management discloses information about its significant estimates made in applying its accounting policies, in accordance with IAS 1.125. The related disclosures in IAS 1.129 are examples of how an entity discloses the effects of its significant estimates, therefore, </w:t>
            </w:r>
            <w:r w:rsidR="00D20748" w:rsidRPr="00AB0C4E">
              <w:rPr>
                <w:i/>
                <w:iCs/>
                <w:lang w:val="en-GB"/>
              </w:rPr>
              <w:t xml:space="preserve">management exercises judgement in determining the extent of the disclosures it should make. As a change in assumptions would result in impairment being recorded, the disclosures focus primarily on the nature of the assumptions made (IAS 1.129(a)) and the sensitivity of carrying amounts to the assumptions made (IAS 1.129(b)). </w:t>
            </w:r>
            <w:r w:rsidR="00143921" w:rsidRPr="00AB0C4E">
              <w:rPr>
                <w:i/>
                <w:iCs/>
                <w:lang w:val="en-GB"/>
              </w:rPr>
              <w:t xml:space="preserve">In determining which information to disclose, management develops an accounting policy in accordance with IAS 8 and considers the requirements of IFRSs dealing with similar and related items, therefore, management makes several disclosures contained in IAS 36.134. </w:t>
            </w:r>
            <w:r w:rsidR="00B26F8B" w:rsidRPr="00AB0C4E">
              <w:rPr>
                <w:i/>
                <w:iCs/>
                <w:lang w:val="en-GB"/>
              </w:rPr>
              <w:t xml:space="preserve">While IAS 36.134 does not apply, management makes the assessment that disclosing this information satisfies the requirement of IAS 1.125 and 129. </w:t>
            </w:r>
          </w:p>
        </w:tc>
      </w:tr>
    </w:tbl>
    <w:p w14:paraId="01DA3D0D" w14:textId="4F4FBDB1" w:rsidR="007B74D9" w:rsidRDefault="007B74D9" w:rsidP="006E22AC">
      <w:pPr>
        <w:rPr>
          <w:lang w:val="en-GB"/>
        </w:rPr>
      </w:pPr>
      <w:r>
        <w:rPr>
          <w:lang w:val="en-GB"/>
        </w:rPr>
        <w:br w:type="page"/>
      </w:r>
    </w:p>
    <w:p w14:paraId="4B1E525B" w14:textId="3661306E" w:rsidR="00F43580" w:rsidRPr="00AB0C4E" w:rsidRDefault="00F43580" w:rsidP="0026651A">
      <w:pPr>
        <w:pStyle w:val="2kopBDO"/>
        <w:rPr>
          <w:lang w:val="en-GB"/>
        </w:rPr>
      </w:pPr>
      <w:bookmarkStart w:id="14" w:name="B9"/>
      <w:r w:rsidRPr="00AB0C4E">
        <w:rPr>
          <w:lang w:val="en-GB"/>
        </w:rPr>
        <w:lastRenderedPageBreak/>
        <w:t xml:space="preserve">B.9 </w:t>
      </w:r>
      <w:bookmarkEnd w:id="14"/>
      <w:r w:rsidRPr="00AB0C4E">
        <w:rPr>
          <w:lang w:val="en-GB"/>
        </w:rPr>
        <w:t>– PROVISIONS</w:t>
      </w:r>
    </w:p>
    <w:tbl>
      <w:tblPr>
        <w:tblStyle w:val="TableGrid"/>
        <w:tblW w:w="13993" w:type="dxa"/>
        <w:tblLook w:val="04A0" w:firstRow="1" w:lastRow="0" w:firstColumn="1" w:lastColumn="0" w:noHBand="0" w:noVBand="1"/>
      </w:tblPr>
      <w:tblGrid>
        <w:gridCol w:w="1469"/>
        <w:gridCol w:w="12524"/>
      </w:tblGrid>
      <w:tr w:rsidR="00F43580" w:rsidRPr="00AB0C4E" w14:paraId="648B02F1" w14:textId="77777777" w:rsidTr="00BF6B45">
        <w:tc>
          <w:tcPr>
            <w:tcW w:w="13993" w:type="dxa"/>
            <w:gridSpan w:val="2"/>
            <w:shd w:val="clear" w:color="auto" w:fill="218F8B" w:themeFill="background2"/>
          </w:tcPr>
          <w:p w14:paraId="654A5475" w14:textId="0A8368D9" w:rsidR="00F43580" w:rsidRPr="00AB0C4E" w:rsidRDefault="00F43580" w:rsidP="00BF6B45">
            <w:pPr>
              <w:rPr>
                <w:color w:val="FFFFFF" w:themeColor="background1"/>
                <w:lang w:val="en-GB"/>
              </w:rPr>
            </w:pPr>
            <w:r w:rsidRPr="00AB0C4E">
              <w:rPr>
                <w:color w:val="FFFFFF" w:themeColor="background1"/>
                <w:lang w:val="en-GB"/>
              </w:rPr>
              <w:t>B.</w:t>
            </w:r>
            <w:r w:rsidR="0026651A">
              <w:rPr>
                <w:color w:val="FFFFFF" w:themeColor="background1"/>
                <w:lang w:val="en-GB"/>
              </w:rPr>
              <w:t xml:space="preserve">9 </w:t>
            </w:r>
            <w:r w:rsidRPr="00AB0C4E">
              <w:rPr>
                <w:color w:val="FFFFFF" w:themeColor="background1"/>
                <w:lang w:val="en-GB"/>
              </w:rPr>
              <w:t xml:space="preserve">– </w:t>
            </w:r>
            <w:r w:rsidR="0026651A">
              <w:rPr>
                <w:color w:val="FFFFFF" w:themeColor="background1"/>
                <w:lang w:val="en-GB"/>
              </w:rPr>
              <w:t>provision recognised relating to onerous contracts</w:t>
            </w:r>
          </w:p>
          <w:p w14:paraId="6F96FFD1" w14:textId="77777777" w:rsidR="00F43580" w:rsidRPr="00AB0C4E" w:rsidRDefault="00F43580" w:rsidP="00BF6B45">
            <w:pPr>
              <w:rPr>
                <w:color w:val="FFFFFF" w:themeColor="background1"/>
                <w:lang w:val="en-GB"/>
              </w:rPr>
            </w:pPr>
          </w:p>
          <w:p w14:paraId="0EE0E3AC" w14:textId="02C6EC65" w:rsidR="00F43580" w:rsidRPr="00AB0C4E" w:rsidRDefault="00F43580" w:rsidP="00BF6B45">
            <w:pPr>
              <w:rPr>
                <w:color w:val="FFFFFF" w:themeColor="background1"/>
                <w:lang w:val="en-GB"/>
              </w:rPr>
            </w:pPr>
            <w:r w:rsidRPr="00AB0C4E">
              <w:rPr>
                <w:color w:val="FFFFFF" w:themeColor="background1"/>
                <w:lang w:val="en-GB"/>
              </w:rPr>
              <w:t>Additional information:</w:t>
            </w:r>
            <w:r w:rsidR="0026651A">
              <w:rPr>
                <w:color w:val="FFFFFF" w:themeColor="background1"/>
                <w:lang w:val="en-GB"/>
              </w:rPr>
              <w:t xml:space="preserve"> in February 2020, Z Layout entered into an agreement with Sluggish Consulting to provide certain staff to consult on improving the wellness of Sluggish Consulting’s employees for the next </w:t>
            </w:r>
            <w:r w:rsidR="00FE6AAE">
              <w:rPr>
                <w:color w:val="FFFFFF" w:themeColor="background1"/>
                <w:lang w:val="en-GB"/>
              </w:rPr>
              <w:t>24</w:t>
            </w:r>
            <w:r w:rsidR="0026651A">
              <w:rPr>
                <w:color w:val="FFFFFF" w:themeColor="background1"/>
                <w:lang w:val="en-GB"/>
              </w:rPr>
              <w:t xml:space="preserve"> months, ending in </w:t>
            </w:r>
            <w:r w:rsidR="00FE6AAE">
              <w:rPr>
                <w:color w:val="FFFFFF" w:themeColor="background1"/>
                <w:lang w:val="en-GB"/>
              </w:rPr>
              <w:t>February</w:t>
            </w:r>
            <w:r w:rsidR="0026651A">
              <w:rPr>
                <w:color w:val="FFFFFF" w:themeColor="background1"/>
                <w:lang w:val="en-GB"/>
              </w:rPr>
              <w:t xml:space="preserve"> 202</w:t>
            </w:r>
            <w:r w:rsidR="00FE6AAE">
              <w:rPr>
                <w:color w:val="FFFFFF" w:themeColor="background1"/>
                <w:lang w:val="en-GB"/>
              </w:rPr>
              <w:t>2</w:t>
            </w:r>
            <w:r w:rsidR="0026651A">
              <w:rPr>
                <w:color w:val="FFFFFF" w:themeColor="background1"/>
                <w:lang w:val="en-GB"/>
              </w:rPr>
              <w:t xml:space="preserve">. Z Layout’s compensation is based on the amount of weight lost by Sluggish Consulting’s employees. As at 31 December 2020, management of Z Layout has determined that this contract is onerous because </w:t>
            </w:r>
            <w:r w:rsidR="00C776DF">
              <w:rPr>
                <w:color w:val="FFFFFF" w:themeColor="background1"/>
                <w:lang w:val="en-GB"/>
              </w:rPr>
              <w:t>the unavoidable costs of satisfying the obligation under the contract (providing consulting services) exceeds the economic benefits expected to be received. This is because the effects of the pandemic have resulted in Sluggish Consulting’s employees not meeting their weight loss targets, however, Z Layout is still obligated to provide consulting services, despite the fact management believes it will lose money by satisfying the contract.</w:t>
            </w:r>
          </w:p>
        </w:tc>
      </w:tr>
      <w:tr w:rsidR="00F43580" w:rsidRPr="00AB0C4E" w14:paraId="13715112" w14:textId="77777777" w:rsidTr="00BF6B45">
        <w:tc>
          <w:tcPr>
            <w:tcW w:w="1469" w:type="dxa"/>
            <w:shd w:val="clear" w:color="auto" w:fill="657C91" w:themeFill="accent4"/>
          </w:tcPr>
          <w:p w14:paraId="43FCC000" w14:textId="77777777" w:rsidR="00F43580" w:rsidRPr="00AB0C4E" w:rsidRDefault="00F43580" w:rsidP="00BF6B45">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525EA1C8" w14:textId="77777777" w:rsidR="00F43580" w:rsidRPr="00AB0C4E" w:rsidRDefault="00F43580" w:rsidP="00BF6B45">
            <w:pPr>
              <w:rPr>
                <w:color w:val="FFFFFF" w:themeColor="background1"/>
                <w:lang w:val="en-GB"/>
              </w:rPr>
            </w:pPr>
            <w:r w:rsidRPr="00AB0C4E">
              <w:rPr>
                <w:color w:val="FFFFFF" w:themeColor="background1"/>
                <w:lang w:val="en-GB"/>
              </w:rPr>
              <w:t xml:space="preserve">Illustrative disclosure </w:t>
            </w:r>
          </w:p>
        </w:tc>
      </w:tr>
      <w:tr w:rsidR="00F43580" w:rsidRPr="00AB0C4E" w14:paraId="7C6E957C" w14:textId="77777777" w:rsidTr="00BF6B45">
        <w:tc>
          <w:tcPr>
            <w:tcW w:w="1469" w:type="dxa"/>
            <w:shd w:val="clear" w:color="auto" w:fill="FFFFFF" w:themeFill="background1"/>
          </w:tcPr>
          <w:p w14:paraId="7824EBFA" w14:textId="77777777" w:rsidR="00F43580" w:rsidRDefault="00736EA6" w:rsidP="00BF6B45">
            <w:pPr>
              <w:jc w:val="right"/>
              <w:rPr>
                <w:lang w:val="en-GB"/>
              </w:rPr>
            </w:pPr>
            <w:r>
              <w:rPr>
                <w:lang w:val="en-GB"/>
              </w:rPr>
              <w:t>IAS 36.85(a)</w:t>
            </w:r>
          </w:p>
          <w:p w14:paraId="61BCE1A3" w14:textId="77777777" w:rsidR="00736EA6" w:rsidRDefault="00736EA6" w:rsidP="00BF6B45">
            <w:pPr>
              <w:jc w:val="right"/>
              <w:rPr>
                <w:lang w:val="en-GB"/>
              </w:rPr>
            </w:pPr>
          </w:p>
          <w:p w14:paraId="114D9F13" w14:textId="77777777" w:rsidR="00736EA6" w:rsidRDefault="00736EA6" w:rsidP="00BF6B45">
            <w:pPr>
              <w:jc w:val="right"/>
              <w:rPr>
                <w:lang w:val="en-GB"/>
              </w:rPr>
            </w:pPr>
          </w:p>
          <w:p w14:paraId="47B8018D" w14:textId="77777777" w:rsidR="00736EA6" w:rsidRDefault="00736EA6" w:rsidP="00BF6B45">
            <w:pPr>
              <w:jc w:val="right"/>
              <w:rPr>
                <w:lang w:val="en-GB"/>
              </w:rPr>
            </w:pPr>
          </w:p>
          <w:p w14:paraId="69B1060B" w14:textId="77777777" w:rsidR="00736EA6" w:rsidRDefault="00736EA6" w:rsidP="00BF6B45">
            <w:pPr>
              <w:jc w:val="right"/>
              <w:rPr>
                <w:lang w:val="en-GB"/>
              </w:rPr>
            </w:pPr>
          </w:p>
          <w:p w14:paraId="3E913296" w14:textId="77777777" w:rsidR="00736EA6" w:rsidRDefault="00736EA6" w:rsidP="00BF6B45">
            <w:pPr>
              <w:jc w:val="right"/>
              <w:rPr>
                <w:lang w:val="en-GB"/>
              </w:rPr>
            </w:pPr>
          </w:p>
          <w:p w14:paraId="544EA030" w14:textId="100A567F" w:rsidR="00736EA6" w:rsidRDefault="00736EA6" w:rsidP="00BF6B45">
            <w:pPr>
              <w:jc w:val="right"/>
              <w:rPr>
                <w:lang w:val="en-GB"/>
              </w:rPr>
            </w:pPr>
            <w:r>
              <w:rPr>
                <w:lang w:val="en-GB"/>
              </w:rPr>
              <w:t>IAS 36.85(b)</w:t>
            </w:r>
          </w:p>
          <w:p w14:paraId="7D3FEA17" w14:textId="0CA2E904" w:rsidR="00736EA6" w:rsidRPr="00AB0C4E" w:rsidRDefault="00736EA6" w:rsidP="00BF6B45">
            <w:pPr>
              <w:jc w:val="right"/>
              <w:rPr>
                <w:lang w:val="en-GB"/>
              </w:rPr>
            </w:pPr>
          </w:p>
        </w:tc>
        <w:tc>
          <w:tcPr>
            <w:tcW w:w="12524" w:type="dxa"/>
            <w:shd w:val="clear" w:color="auto" w:fill="FFFFFF" w:themeFill="background1"/>
          </w:tcPr>
          <w:p w14:paraId="6291424A" w14:textId="0F6A8950" w:rsidR="00FE6AAE" w:rsidRDefault="00C776DF" w:rsidP="00BF6B45">
            <w:pPr>
              <w:rPr>
                <w:lang w:val="en-GB"/>
              </w:rPr>
            </w:pPr>
            <w:r>
              <w:rPr>
                <w:lang w:val="en-GB"/>
              </w:rPr>
              <w:t xml:space="preserve">In February 2020, the Company entered into an agreement to provide consulting services to a customer, where substantially all of the fees earned will be based on the weight loss of those participating in the program being run by the Company. Expected revenue to be earned under the contract has been significantly less than the Company expected, therefore, the contract is onerous as at 31 December 2020. </w:t>
            </w:r>
          </w:p>
          <w:p w14:paraId="0522826E" w14:textId="77777777" w:rsidR="00736EA6" w:rsidRDefault="00736EA6" w:rsidP="00BF6B45">
            <w:pPr>
              <w:rPr>
                <w:lang w:val="en-GB"/>
              </w:rPr>
            </w:pPr>
          </w:p>
          <w:p w14:paraId="18046A4C" w14:textId="514C44F6" w:rsidR="00F43580" w:rsidRPr="00AB0C4E" w:rsidRDefault="00BC3A7A" w:rsidP="00BF6B45">
            <w:pPr>
              <w:rPr>
                <w:lang w:val="en-GB"/>
              </w:rPr>
            </w:pPr>
            <w:r>
              <w:rPr>
                <w:lang w:val="en-GB"/>
              </w:rPr>
              <w:t>Therefore, the Company has recognised a provision of CU100,000 relating to the onerous contract</w:t>
            </w:r>
            <w:r w:rsidR="00FE6AAE">
              <w:rPr>
                <w:lang w:val="en-GB"/>
              </w:rPr>
              <w:t xml:space="preserve">, which represents the excess of </w:t>
            </w:r>
            <w:r w:rsidR="00736EA6">
              <w:rPr>
                <w:lang w:val="en-GB"/>
              </w:rPr>
              <w:t>unavoidable costs of meeting the obligation over the economic benefits expected to be received under it</w:t>
            </w:r>
            <w:r>
              <w:rPr>
                <w:lang w:val="en-GB"/>
              </w:rPr>
              <w:t xml:space="preserve">. </w:t>
            </w:r>
            <w:r w:rsidR="00FE6AAE">
              <w:rPr>
                <w:lang w:val="en-GB"/>
              </w:rPr>
              <w:t xml:space="preserve">The major assumptions underlying the measurement of the provision include the Company’s estimate of total revenue to be earned, which is based on CU10 per pound lost by participants. Management expects only CU50,000 to be earned for the contract in total. The discount rate used to measure the provision is 3%. </w:t>
            </w:r>
          </w:p>
        </w:tc>
      </w:tr>
      <w:tr w:rsidR="00F43580" w:rsidRPr="00AB0C4E" w14:paraId="42C81F0A" w14:textId="77777777" w:rsidTr="00BF6B45">
        <w:tc>
          <w:tcPr>
            <w:tcW w:w="1469" w:type="dxa"/>
            <w:shd w:val="clear" w:color="auto" w:fill="FFFFFF" w:themeFill="background1"/>
          </w:tcPr>
          <w:p w14:paraId="3969B8DF" w14:textId="77777777" w:rsidR="00F43580" w:rsidRPr="00AB0C4E" w:rsidRDefault="00F43580" w:rsidP="00BF6B45">
            <w:pPr>
              <w:jc w:val="right"/>
              <w:rPr>
                <w:lang w:val="en-GB"/>
              </w:rPr>
            </w:pPr>
          </w:p>
        </w:tc>
        <w:tc>
          <w:tcPr>
            <w:tcW w:w="12524" w:type="dxa"/>
            <w:shd w:val="clear" w:color="auto" w:fill="FFFFFF" w:themeFill="background1"/>
          </w:tcPr>
          <w:p w14:paraId="27E6228C" w14:textId="40370D80" w:rsidR="00F43580" w:rsidRPr="00AB0C4E" w:rsidRDefault="00F43580" w:rsidP="00BF6B45">
            <w:pPr>
              <w:rPr>
                <w:lang w:val="en-GB"/>
              </w:rPr>
            </w:pPr>
            <w:r w:rsidRPr="00AB0C4E">
              <w:rPr>
                <w:i/>
                <w:iCs/>
                <w:lang w:val="en-GB"/>
              </w:rPr>
              <w:t xml:space="preserve">Analysis: </w:t>
            </w:r>
            <w:r w:rsidR="00F32B6C">
              <w:rPr>
                <w:i/>
                <w:iCs/>
                <w:lang w:val="en-GB"/>
              </w:rPr>
              <w:t xml:space="preserve">if the provision had arisen in an earlier period, it would also be required to disclose a reconciliation of the provision, including the carrying amount at the beginning and end of the period, additional provisions made in the period, amounts used/incurred against the provision during the period, unused amounts reversed and the effect of discounting (i.e. accretion) (IAS 36.84). </w:t>
            </w:r>
          </w:p>
        </w:tc>
      </w:tr>
    </w:tbl>
    <w:p w14:paraId="5C3AB9DD" w14:textId="614FD62F" w:rsidR="000C1E9D" w:rsidRDefault="000C1E9D" w:rsidP="006E22AC">
      <w:pPr>
        <w:rPr>
          <w:lang w:val="en-GB"/>
        </w:rPr>
      </w:pPr>
    </w:p>
    <w:p w14:paraId="4ED8A59C" w14:textId="68563806" w:rsidR="00AB0097" w:rsidRDefault="00AB0097" w:rsidP="006E22AC">
      <w:pPr>
        <w:rPr>
          <w:lang w:val="en-GB"/>
        </w:rPr>
      </w:pPr>
    </w:p>
    <w:p w14:paraId="4EB01CAA" w14:textId="55488178" w:rsidR="00AB0097" w:rsidRDefault="00AB0097" w:rsidP="006E22AC">
      <w:pPr>
        <w:rPr>
          <w:lang w:val="en-GB"/>
        </w:rPr>
      </w:pPr>
    </w:p>
    <w:p w14:paraId="599BBF05" w14:textId="46FC0845" w:rsidR="00AB0097" w:rsidRDefault="00AB0097" w:rsidP="006E22AC">
      <w:pPr>
        <w:rPr>
          <w:lang w:val="en-GB"/>
        </w:rPr>
      </w:pPr>
    </w:p>
    <w:p w14:paraId="4DD616A8" w14:textId="293011D6" w:rsidR="00AB0097" w:rsidRDefault="00AB0097" w:rsidP="006E22AC">
      <w:pPr>
        <w:rPr>
          <w:lang w:val="en-GB"/>
        </w:rPr>
      </w:pPr>
    </w:p>
    <w:p w14:paraId="3428FA50" w14:textId="77777777" w:rsidR="00AB0097" w:rsidRPr="00AB0C4E" w:rsidRDefault="00AB0097" w:rsidP="006E22AC">
      <w:pPr>
        <w:rPr>
          <w:lang w:val="en-GB"/>
        </w:rPr>
      </w:pPr>
    </w:p>
    <w:p w14:paraId="20136653" w14:textId="334AE139" w:rsidR="00F43580" w:rsidRPr="00AB0C4E" w:rsidRDefault="00F43580" w:rsidP="0099647D">
      <w:pPr>
        <w:pStyle w:val="2kopBDO"/>
        <w:rPr>
          <w:lang w:val="en-GB"/>
        </w:rPr>
      </w:pPr>
      <w:bookmarkStart w:id="15" w:name="B10"/>
      <w:r w:rsidRPr="00AB0C4E">
        <w:rPr>
          <w:lang w:val="en-GB"/>
        </w:rPr>
        <w:lastRenderedPageBreak/>
        <w:t xml:space="preserve">B.10 </w:t>
      </w:r>
      <w:bookmarkEnd w:id="15"/>
      <w:r w:rsidRPr="00AB0C4E">
        <w:rPr>
          <w:lang w:val="en-GB"/>
        </w:rPr>
        <w:t>– FINANCIAL INSTRUMENTS: CREDIT RISK</w:t>
      </w:r>
    </w:p>
    <w:tbl>
      <w:tblPr>
        <w:tblStyle w:val="TableGrid"/>
        <w:tblW w:w="13993" w:type="dxa"/>
        <w:tblLook w:val="04A0" w:firstRow="1" w:lastRow="0" w:firstColumn="1" w:lastColumn="0" w:noHBand="0" w:noVBand="1"/>
      </w:tblPr>
      <w:tblGrid>
        <w:gridCol w:w="1469"/>
        <w:gridCol w:w="12524"/>
      </w:tblGrid>
      <w:tr w:rsidR="000C1E9D" w:rsidRPr="00AB0C4E" w14:paraId="63C1DDC4" w14:textId="77777777" w:rsidTr="001F50DB">
        <w:tc>
          <w:tcPr>
            <w:tcW w:w="13993" w:type="dxa"/>
            <w:gridSpan w:val="2"/>
            <w:shd w:val="clear" w:color="auto" w:fill="218F8B" w:themeFill="background2"/>
          </w:tcPr>
          <w:p w14:paraId="5DADF802" w14:textId="5D682D3E" w:rsidR="000C1E9D" w:rsidRPr="00AB0C4E" w:rsidRDefault="000C1E9D" w:rsidP="001F50DB">
            <w:pPr>
              <w:rPr>
                <w:color w:val="FFFFFF" w:themeColor="background1"/>
                <w:lang w:val="en-GB"/>
              </w:rPr>
            </w:pPr>
            <w:r w:rsidRPr="00AB0C4E">
              <w:rPr>
                <w:color w:val="FFFFFF" w:themeColor="background1"/>
                <w:lang w:val="en-GB"/>
              </w:rPr>
              <w:t>B.</w:t>
            </w:r>
            <w:r w:rsidR="00FD5B8A">
              <w:rPr>
                <w:color w:val="FFFFFF" w:themeColor="background1"/>
                <w:lang w:val="en-GB"/>
              </w:rPr>
              <w:t>10</w:t>
            </w:r>
            <w:r w:rsidRPr="00AB0C4E">
              <w:rPr>
                <w:color w:val="FFFFFF" w:themeColor="background1"/>
                <w:lang w:val="en-GB"/>
              </w:rPr>
              <w:t xml:space="preserve"> – </w:t>
            </w:r>
            <w:r w:rsidR="00DB16EB">
              <w:rPr>
                <w:color w:val="FFFFFF" w:themeColor="background1"/>
                <w:lang w:val="en-GB"/>
              </w:rPr>
              <w:t>disclosure of credit risk exposure and measurement of expected credit losses</w:t>
            </w:r>
            <w:r w:rsidR="0099647D">
              <w:rPr>
                <w:color w:val="FFFFFF" w:themeColor="background1"/>
                <w:lang w:val="en-GB"/>
              </w:rPr>
              <w:t xml:space="preserve"> (ECL)</w:t>
            </w:r>
          </w:p>
          <w:p w14:paraId="76105E1B" w14:textId="77777777" w:rsidR="000C1E9D" w:rsidRPr="00AB0C4E" w:rsidRDefault="000C1E9D" w:rsidP="001F50DB">
            <w:pPr>
              <w:rPr>
                <w:color w:val="FFFFFF" w:themeColor="background1"/>
                <w:lang w:val="en-GB"/>
              </w:rPr>
            </w:pPr>
          </w:p>
          <w:p w14:paraId="6CF73BE6" w14:textId="3302C763" w:rsidR="000C1E9D" w:rsidRPr="00AB0C4E" w:rsidRDefault="000C1E9D" w:rsidP="001F50DB">
            <w:pPr>
              <w:rPr>
                <w:color w:val="FFFFFF" w:themeColor="background1"/>
                <w:lang w:val="en-GB"/>
              </w:rPr>
            </w:pPr>
            <w:r w:rsidRPr="00AB0C4E">
              <w:rPr>
                <w:color w:val="FFFFFF" w:themeColor="background1"/>
                <w:lang w:val="en-GB"/>
              </w:rPr>
              <w:t>Additional information:</w:t>
            </w:r>
            <w:r w:rsidR="00DB16EB">
              <w:rPr>
                <w:color w:val="FFFFFF" w:themeColor="background1"/>
                <w:lang w:val="en-GB"/>
              </w:rPr>
              <w:t xml:space="preserve"> Z Layout has experienced significantly higher bad debts in 2020 due to several customers experiencing financial difficulties, however, increases in its online sales (which do not give rise to significant receivables as sales are direct to consume</w:t>
            </w:r>
            <w:r w:rsidR="00891C7F">
              <w:rPr>
                <w:color w:val="FFFFFF" w:themeColor="background1"/>
                <w:lang w:val="en-GB"/>
              </w:rPr>
              <w:t>r</w:t>
            </w:r>
            <w:r w:rsidR="00DB16EB">
              <w:rPr>
                <w:color w:val="FFFFFF" w:themeColor="background1"/>
                <w:lang w:val="en-GB"/>
              </w:rPr>
              <w:t xml:space="preserve">s </w:t>
            </w:r>
            <w:r w:rsidR="00891C7F">
              <w:rPr>
                <w:color w:val="FFFFFF" w:themeColor="background1"/>
                <w:lang w:val="en-GB"/>
              </w:rPr>
              <w:t xml:space="preserve">and are paid </w:t>
            </w:r>
            <w:r w:rsidR="00DB16EB">
              <w:rPr>
                <w:color w:val="FFFFFF" w:themeColor="background1"/>
                <w:lang w:val="en-GB"/>
              </w:rPr>
              <w:t xml:space="preserve">via credit cards) have resulted in little to no bad debts. Z Layout estimated </w:t>
            </w:r>
            <w:r w:rsidR="0099647D">
              <w:rPr>
                <w:color w:val="FFFFFF" w:themeColor="background1"/>
                <w:lang w:val="en-GB"/>
              </w:rPr>
              <w:t>ECL</w:t>
            </w:r>
            <w:r w:rsidR="00DB16EB">
              <w:rPr>
                <w:color w:val="FFFFFF" w:themeColor="background1"/>
                <w:lang w:val="en-GB"/>
              </w:rPr>
              <w:t xml:space="preserve"> based on lifetime </w:t>
            </w:r>
            <w:r w:rsidR="0099647D">
              <w:rPr>
                <w:color w:val="FFFFFF" w:themeColor="background1"/>
                <w:lang w:val="en-GB"/>
              </w:rPr>
              <w:t xml:space="preserve">expected credit losses in accordance with IFRS 9.5.5.15. </w:t>
            </w:r>
          </w:p>
        </w:tc>
      </w:tr>
      <w:tr w:rsidR="000C1E9D" w:rsidRPr="00AB0C4E" w14:paraId="71A51EF2" w14:textId="77777777" w:rsidTr="001F50DB">
        <w:tc>
          <w:tcPr>
            <w:tcW w:w="1469" w:type="dxa"/>
            <w:shd w:val="clear" w:color="auto" w:fill="657C91" w:themeFill="accent4"/>
          </w:tcPr>
          <w:p w14:paraId="1F6581BF" w14:textId="77777777" w:rsidR="000C1E9D" w:rsidRPr="00AB0C4E" w:rsidRDefault="000C1E9D" w:rsidP="001F50DB">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142F3230" w14:textId="77777777" w:rsidR="000C1E9D" w:rsidRPr="00AB0C4E" w:rsidRDefault="000C1E9D" w:rsidP="001F50DB">
            <w:pPr>
              <w:rPr>
                <w:color w:val="FFFFFF" w:themeColor="background1"/>
                <w:lang w:val="en-GB"/>
              </w:rPr>
            </w:pPr>
            <w:r w:rsidRPr="00AB0C4E">
              <w:rPr>
                <w:color w:val="FFFFFF" w:themeColor="background1"/>
                <w:lang w:val="en-GB"/>
              </w:rPr>
              <w:t xml:space="preserve">Illustrative disclosure </w:t>
            </w:r>
          </w:p>
        </w:tc>
      </w:tr>
      <w:tr w:rsidR="000C1E9D" w:rsidRPr="00AB0C4E" w14:paraId="06B66191" w14:textId="77777777" w:rsidTr="001F50DB">
        <w:tc>
          <w:tcPr>
            <w:tcW w:w="1469" w:type="dxa"/>
            <w:shd w:val="clear" w:color="auto" w:fill="FFFFFF" w:themeFill="background1"/>
          </w:tcPr>
          <w:p w14:paraId="562A831C" w14:textId="37F49DB1" w:rsidR="00CD30CB" w:rsidRDefault="00CD30CB" w:rsidP="00CD30CB">
            <w:pPr>
              <w:jc w:val="right"/>
              <w:rPr>
                <w:lang w:val="en-GB"/>
              </w:rPr>
            </w:pPr>
            <w:r>
              <w:rPr>
                <w:lang w:val="en-GB"/>
              </w:rPr>
              <w:t>IFRS 7.35B</w:t>
            </w:r>
          </w:p>
          <w:p w14:paraId="0AE3DEAC" w14:textId="77777777" w:rsidR="00CD30CB" w:rsidRDefault="00CD30CB" w:rsidP="001F50DB">
            <w:pPr>
              <w:jc w:val="right"/>
              <w:rPr>
                <w:lang w:val="en-GB"/>
              </w:rPr>
            </w:pPr>
          </w:p>
          <w:p w14:paraId="17E5728F" w14:textId="77777777" w:rsidR="00CD30CB" w:rsidRDefault="00CD30CB" w:rsidP="001F50DB">
            <w:pPr>
              <w:jc w:val="right"/>
              <w:rPr>
                <w:lang w:val="en-GB"/>
              </w:rPr>
            </w:pPr>
          </w:p>
          <w:p w14:paraId="4020CA98" w14:textId="77777777" w:rsidR="00CD30CB" w:rsidRDefault="00CD30CB" w:rsidP="001F50DB">
            <w:pPr>
              <w:jc w:val="right"/>
              <w:rPr>
                <w:lang w:val="en-GB"/>
              </w:rPr>
            </w:pPr>
          </w:p>
          <w:p w14:paraId="72BA7494" w14:textId="7DF668A5" w:rsidR="00CD30CB" w:rsidRDefault="00CD30CB" w:rsidP="001579DA">
            <w:pPr>
              <w:jc w:val="right"/>
              <w:rPr>
                <w:lang w:val="en-GB"/>
              </w:rPr>
            </w:pPr>
            <w:r>
              <w:rPr>
                <w:lang w:val="en-GB"/>
              </w:rPr>
              <w:t>IFRS 7.35G</w:t>
            </w:r>
            <w:r w:rsidR="001579DA">
              <w:rPr>
                <w:lang w:val="en-GB"/>
              </w:rPr>
              <w:t xml:space="preserve"> (a),(c)</w:t>
            </w:r>
          </w:p>
          <w:p w14:paraId="740752FF" w14:textId="77777777" w:rsidR="00CD30CB" w:rsidRDefault="00CD30CB" w:rsidP="001F50DB">
            <w:pPr>
              <w:jc w:val="right"/>
              <w:rPr>
                <w:lang w:val="en-GB"/>
              </w:rPr>
            </w:pPr>
          </w:p>
          <w:p w14:paraId="472EBD2E" w14:textId="77777777" w:rsidR="00CD30CB" w:rsidRDefault="00CD30CB" w:rsidP="001F50DB">
            <w:pPr>
              <w:jc w:val="right"/>
              <w:rPr>
                <w:lang w:val="en-GB"/>
              </w:rPr>
            </w:pPr>
          </w:p>
          <w:p w14:paraId="45AF5590" w14:textId="77777777" w:rsidR="00CD30CB" w:rsidRDefault="00CD30CB" w:rsidP="001F50DB">
            <w:pPr>
              <w:jc w:val="right"/>
              <w:rPr>
                <w:lang w:val="en-GB"/>
              </w:rPr>
            </w:pPr>
          </w:p>
          <w:p w14:paraId="244B1440" w14:textId="77777777" w:rsidR="00CD30CB" w:rsidRDefault="00CD30CB" w:rsidP="001F50DB">
            <w:pPr>
              <w:jc w:val="right"/>
              <w:rPr>
                <w:lang w:val="en-GB"/>
              </w:rPr>
            </w:pPr>
          </w:p>
          <w:p w14:paraId="1C726A89" w14:textId="4532053B" w:rsidR="00CD30CB" w:rsidRDefault="001579DA" w:rsidP="001F50DB">
            <w:pPr>
              <w:jc w:val="right"/>
              <w:rPr>
                <w:lang w:val="en-GB"/>
              </w:rPr>
            </w:pPr>
            <w:r>
              <w:rPr>
                <w:lang w:val="en-GB"/>
              </w:rPr>
              <w:t>IFRS 7.35G(b)</w:t>
            </w:r>
          </w:p>
          <w:p w14:paraId="49D0E23F" w14:textId="77777777" w:rsidR="00CD30CB" w:rsidRDefault="00CD30CB" w:rsidP="001F50DB">
            <w:pPr>
              <w:jc w:val="right"/>
              <w:rPr>
                <w:lang w:val="en-GB"/>
              </w:rPr>
            </w:pPr>
          </w:p>
          <w:p w14:paraId="0C94742D" w14:textId="77777777" w:rsidR="00CD30CB" w:rsidRDefault="00CD30CB" w:rsidP="001F50DB">
            <w:pPr>
              <w:jc w:val="right"/>
              <w:rPr>
                <w:lang w:val="en-GB"/>
              </w:rPr>
            </w:pPr>
          </w:p>
          <w:p w14:paraId="59219DBD" w14:textId="62BAD324" w:rsidR="00CD30CB" w:rsidRDefault="00CD30CB" w:rsidP="001F50DB">
            <w:pPr>
              <w:jc w:val="right"/>
              <w:rPr>
                <w:lang w:val="en-GB"/>
              </w:rPr>
            </w:pPr>
          </w:p>
          <w:p w14:paraId="34430251" w14:textId="09BCA908" w:rsidR="001579DA" w:rsidRDefault="001579DA" w:rsidP="001F50DB">
            <w:pPr>
              <w:jc w:val="right"/>
              <w:rPr>
                <w:lang w:val="en-GB"/>
              </w:rPr>
            </w:pPr>
          </w:p>
          <w:p w14:paraId="25AD55F3" w14:textId="05C70E0B" w:rsidR="001579DA" w:rsidRDefault="001579DA" w:rsidP="001F50DB">
            <w:pPr>
              <w:jc w:val="right"/>
              <w:rPr>
                <w:lang w:val="en-GB"/>
              </w:rPr>
            </w:pPr>
          </w:p>
          <w:p w14:paraId="40726967" w14:textId="0042711C" w:rsidR="001579DA" w:rsidRDefault="001579DA" w:rsidP="001F50DB">
            <w:pPr>
              <w:jc w:val="right"/>
              <w:rPr>
                <w:lang w:val="en-GB"/>
              </w:rPr>
            </w:pPr>
          </w:p>
          <w:p w14:paraId="3356E8F7" w14:textId="77777777" w:rsidR="001579DA" w:rsidRDefault="001579DA" w:rsidP="00A81687">
            <w:pPr>
              <w:rPr>
                <w:lang w:val="en-GB"/>
              </w:rPr>
            </w:pPr>
          </w:p>
          <w:p w14:paraId="06A4ED42" w14:textId="2FB9B8BA" w:rsidR="00CD30CB" w:rsidRDefault="00CD30CB" w:rsidP="001F50DB">
            <w:pPr>
              <w:jc w:val="right"/>
              <w:rPr>
                <w:lang w:val="en-GB"/>
              </w:rPr>
            </w:pPr>
            <w:r>
              <w:rPr>
                <w:lang w:val="en-GB"/>
              </w:rPr>
              <w:t>IFRS 7.35M</w:t>
            </w:r>
          </w:p>
          <w:p w14:paraId="02F0868C" w14:textId="30435F6B" w:rsidR="00CD30CB" w:rsidRDefault="00CD30CB" w:rsidP="001F50DB">
            <w:pPr>
              <w:jc w:val="right"/>
              <w:rPr>
                <w:lang w:val="en-GB"/>
              </w:rPr>
            </w:pPr>
            <w:r>
              <w:rPr>
                <w:lang w:val="en-GB"/>
              </w:rPr>
              <w:t>IFRS 7.35N</w:t>
            </w:r>
          </w:p>
          <w:p w14:paraId="1CC38654" w14:textId="77777777" w:rsidR="00CD30CB" w:rsidRDefault="00CD30CB" w:rsidP="001F50DB">
            <w:pPr>
              <w:jc w:val="right"/>
              <w:rPr>
                <w:lang w:val="en-GB"/>
              </w:rPr>
            </w:pPr>
          </w:p>
          <w:p w14:paraId="2084CA7C" w14:textId="77777777" w:rsidR="00CD30CB" w:rsidRDefault="00CD30CB" w:rsidP="001F50DB">
            <w:pPr>
              <w:jc w:val="right"/>
              <w:rPr>
                <w:lang w:val="en-GB"/>
              </w:rPr>
            </w:pPr>
          </w:p>
          <w:p w14:paraId="66A11D00" w14:textId="14050B07" w:rsidR="00CD30CB" w:rsidRPr="00AB0C4E" w:rsidRDefault="00CD30CB" w:rsidP="001F50DB">
            <w:pPr>
              <w:jc w:val="right"/>
              <w:rPr>
                <w:lang w:val="en-GB"/>
              </w:rPr>
            </w:pPr>
          </w:p>
        </w:tc>
        <w:tc>
          <w:tcPr>
            <w:tcW w:w="12524" w:type="dxa"/>
            <w:shd w:val="clear" w:color="auto" w:fill="FFFFFF" w:themeFill="background1"/>
          </w:tcPr>
          <w:p w14:paraId="604C7EA6" w14:textId="712796D4" w:rsidR="0099647D" w:rsidRDefault="0099647D" w:rsidP="0099647D">
            <w:pPr>
              <w:widowControl w:val="0"/>
              <w:rPr>
                <w:snapToGrid w:val="0"/>
                <w:color w:val="000000"/>
              </w:rPr>
            </w:pPr>
            <w:r>
              <w:rPr>
                <w:snapToGrid w:val="0"/>
                <w:color w:val="000000"/>
              </w:rPr>
              <w:t xml:space="preserve">The Company applies the IFRS 9 simplified approach to measuring expected credit losses using a lifetime expected credit loss provision for trade receivables.  To measure expected credit losses on a collective basis, trade receivables are grouped based on similar credit risk and aging. </w:t>
            </w:r>
          </w:p>
          <w:p w14:paraId="71A37D72" w14:textId="77777777" w:rsidR="0099647D" w:rsidRDefault="0099647D" w:rsidP="0099647D">
            <w:pPr>
              <w:widowControl w:val="0"/>
              <w:ind w:left="540"/>
              <w:rPr>
                <w:snapToGrid w:val="0"/>
                <w:color w:val="000000"/>
              </w:rPr>
            </w:pPr>
          </w:p>
          <w:p w14:paraId="1DD10D9A" w14:textId="31BCD477" w:rsidR="000C1E9D" w:rsidRDefault="0099647D" w:rsidP="00085046">
            <w:pPr>
              <w:widowControl w:val="0"/>
              <w:rPr>
                <w:snapToGrid w:val="0"/>
                <w:color w:val="000000"/>
              </w:rPr>
            </w:pPr>
            <w:r>
              <w:rPr>
                <w:snapToGrid w:val="0"/>
                <w:color w:val="000000"/>
              </w:rPr>
              <w:t xml:space="preserve">The expected loss rates are based on the </w:t>
            </w:r>
            <w:r w:rsidR="00085046">
              <w:rPr>
                <w:snapToGrid w:val="0"/>
                <w:color w:val="000000"/>
              </w:rPr>
              <w:t>Company</w:t>
            </w:r>
            <w:r>
              <w:rPr>
                <w:snapToGrid w:val="0"/>
                <w:color w:val="000000"/>
              </w:rPr>
              <w:t xml:space="preserve">’s historical credit losses experienced over the </w:t>
            </w:r>
            <w:r w:rsidR="00085046">
              <w:rPr>
                <w:snapToGrid w:val="0"/>
                <w:color w:val="000000"/>
              </w:rPr>
              <w:t>three-year</w:t>
            </w:r>
            <w:r>
              <w:rPr>
                <w:snapToGrid w:val="0"/>
                <w:color w:val="000000"/>
              </w:rPr>
              <w:t xml:space="preserve"> period prior to the period end</w:t>
            </w:r>
            <w:r w:rsidR="00085046">
              <w:rPr>
                <w:snapToGrid w:val="0"/>
                <w:color w:val="000000"/>
              </w:rPr>
              <w:t xml:space="preserve">, however, the Company has weighted losses in the last 6 months of 2020 at 80% </w:t>
            </w:r>
            <w:r w:rsidR="006B7181">
              <w:rPr>
                <w:snapToGrid w:val="0"/>
                <w:color w:val="000000"/>
              </w:rPr>
              <w:t>as recent bad debts are more indicative of future expectations due to the effects of the pandemic</w:t>
            </w:r>
            <w:r>
              <w:rPr>
                <w:snapToGrid w:val="0"/>
                <w:color w:val="000000"/>
              </w:rPr>
              <w:t>. The historical loss rates are then adjusted for current and forward-looking information on macroeconomic factors affecting the</w:t>
            </w:r>
            <w:r w:rsidR="00085046">
              <w:rPr>
                <w:snapToGrid w:val="0"/>
                <w:color w:val="000000"/>
              </w:rPr>
              <w:t xml:space="preserve"> Company’s </w:t>
            </w:r>
            <w:r>
              <w:rPr>
                <w:snapToGrid w:val="0"/>
                <w:color w:val="000000"/>
              </w:rPr>
              <w:t xml:space="preserve">customers. The </w:t>
            </w:r>
            <w:r w:rsidR="00085046">
              <w:rPr>
                <w:snapToGrid w:val="0"/>
                <w:color w:val="000000"/>
              </w:rPr>
              <w:t>Company</w:t>
            </w:r>
            <w:r>
              <w:rPr>
                <w:snapToGrid w:val="0"/>
                <w:color w:val="000000"/>
              </w:rPr>
              <w:t xml:space="preserve"> has identified the </w:t>
            </w:r>
            <w:r w:rsidR="00085046">
              <w:rPr>
                <w:snapToGrid w:val="0"/>
                <w:color w:val="000000"/>
              </w:rPr>
              <w:t xml:space="preserve">expected timing of gyms being reopened and the development of COVID-19 vaccines as being the most significant estimates of forward-looking information as most of the Company’s customers are dependent on reductions in social distancing and government-imposed closures in order to operate. </w:t>
            </w:r>
          </w:p>
          <w:p w14:paraId="79532E29" w14:textId="071EE2AB" w:rsidR="00085046" w:rsidRDefault="00085046" w:rsidP="00085046">
            <w:pPr>
              <w:widowControl w:val="0"/>
              <w:rPr>
                <w:snapToGrid w:val="0"/>
                <w:color w:val="000000"/>
              </w:rPr>
            </w:pPr>
          </w:p>
          <w:p w14:paraId="46EA72B1" w14:textId="5D34F0D3" w:rsidR="00085046" w:rsidRDefault="00085046" w:rsidP="00085046">
            <w:pPr>
              <w:widowControl w:val="0"/>
              <w:rPr>
                <w:snapToGrid w:val="0"/>
                <w:color w:val="000000"/>
              </w:rPr>
            </w:pPr>
            <w:r>
              <w:rPr>
                <w:snapToGrid w:val="0"/>
                <w:color w:val="000000"/>
              </w:rPr>
              <w:t>The Company has estimates ECL using historic loss rates</w:t>
            </w:r>
            <w:r w:rsidR="00891C7F">
              <w:rPr>
                <w:snapToGrid w:val="0"/>
                <w:color w:val="000000"/>
              </w:rPr>
              <w:t>, adjusted for forward looking information,</w:t>
            </w:r>
            <w:r>
              <w:rPr>
                <w:snapToGrid w:val="0"/>
                <w:color w:val="000000"/>
              </w:rPr>
              <w:t xml:space="preserve"> only for sales made on account, </w:t>
            </w:r>
            <w:r w:rsidR="006B7181">
              <w:rPr>
                <w:snapToGrid w:val="0"/>
                <w:color w:val="000000"/>
              </w:rPr>
              <w:t>which does not include online sales, as they</w:t>
            </w:r>
            <w:r w:rsidR="00891C7F">
              <w:rPr>
                <w:snapToGrid w:val="0"/>
                <w:color w:val="000000"/>
              </w:rPr>
              <w:t xml:space="preserve"> are paid by credit card at the point of sale and</w:t>
            </w:r>
            <w:r w:rsidR="006B7181">
              <w:rPr>
                <w:snapToGrid w:val="0"/>
                <w:color w:val="000000"/>
              </w:rPr>
              <w:t xml:space="preserve"> do not give rise to significant credit losses. </w:t>
            </w:r>
          </w:p>
          <w:p w14:paraId="06534811" w14:textId="4400687A" w:rsidR="006B7181" w:rsidRDefault="006B7181" w:rsidP="00085046">
            <w:pPr>
              <w:widowControl w:val="0"/>
              <w:rPr>
                <w:snapToGrid w:val="0"/>
                <w:color w:val="000000"/>
              </w:rPr>
            </w:pPr>
          </w:p>
          <w:p w14:paraId="5C4BC6CA" w14:textId="14C16E95" w:rsidR="006B7181" w:rsidRPr="009876E8" w:rsidRDefault="006B7181" w:rsidP="006B7181">
            <w:pPr>
              <w:widowControl w:val="0"/>
              <w:tabs>
                <w:tab w:val="left" w:pos="567"/>
                <w:tab w:val="decimal" w:pos="7592"/>
                <w:tab w:val="decimal" w:pos="8908"/>
              </w:tabs>
              <w:rPr>
                <w:snapToGrid w:val="0"/>
                <w:color w:val="000000"/>
              </w:rPr>
            </w:pPr>
            <w:r>
              <w:rPr>
                <w:snapToGrid w:val="0"/>
                <w:color w:val="000000"/>
              </w:rPr>
              <w:t>T</w:t>
            </w:r>
            <w:r w:rsidRPr="009876E8">
              <w:rPr>
                <w:snapToGrid w:val="0"/>
                <w:color w:val="000000"/>
              </w:rPr>
              <w:t xml:space="preserve">he </w:t>
            </w:r>
            <w:r>
              <w:rPr>
                <w:snapToGrid w:val="0"/>
                <w:color w:val="000000"/>
              </w:rPr>
              <w:t xml:space="preserve">lifetime expected loss provision for </w:t>
            </w:r>
            <w:r w:rsidRPr="009876E8">
              <w:rPr>
                <w:snapToGrid w:val="0"/>
                <w:color w:val="000000"/>
              </w:rPr>
              <w:t xml:space="preserve">trade receivables </w:t>
            </w:r>
            <w:r>
              <w:rPr>
                <w:snapToGrid w:val="0"/>
                <w:color w:val="000000"/>
              </w:rPr>
              <w:t>and contract assets is</w:t>
            </w:r>
            <w:r w:rsidRPr="009876E8">
              <w:rPr>
                <w:snapToGrid w:val="0"/>
                <w:color w:val="000000"/>
              </w:rPr>
              <w:t xml:space="preserve"> as follows:</w:t>
            </w:r>
          </w:p>
          <w:p w14:paraId="16508453" w14:textId="77777777" w:rsidR="0099647D" w:rsidRDefault="0099647D" w:rsidP="001F50DB">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3"/>
              <w:gridCol w:w="1845"/>
              <w:gridCol w:w="2050"/>
              <w:gridCol w:w="2050"/>
              <w:gridCol w:w="2050"/>
              <w:gridCol w:w="2050"/>
            </w:tblGrid>
            <w:tr w:rsidR="0099647D" w14:paraId="69A1991E" w14:textId="77777777" w:rsidTr="008605A3">
              <w:tc>
                <w:tcPr>
                  <w:tcW w:w="2253" w:type="dxa"/>
                </w:tcPr>
                <w:p w14:paraId="443CF7DD" w14:textId="33445C8A" w:rsidR="0099647D" w:rsidRDefault="006B7181" w:rsidP="006B7181">
                  <w:pPr>
                    <w:jc w:val="right"/>
                    <w:rPr>
                      <w:lang w:val="en-GB"/>
                    </w:rPr>
                  </w:pPr>
                  <w:r>
                    <w:rPr>
                      <w:lang w:val="en-GB"/>
                    </w:rPr>
                    <w:t>31 December 2020</w:t>
                  </w:r>
                </w:p>
              </w:tc>
              <w:tc>
                <w:tcPr>
                  <w:tcW w:w="1845" w:type="dxa"/>
                </w:tcPr>
                <w:p w14:paraId="71FDA3D6" w14:textId="5306E3E3" w:rsidR="0099647D" w:rsidRDefault="006B7181" w:rsidP="006B7181">
                  <w:pPr>
                    <w:jc w:val="right"/>
                    <w:rPr>
                      <w:lang w:val="en-GB"/>
                    </w:rPr>
                  </w:pPr>
                  <w:r>
                    <w:rPr>
                      <w:lang w:val="en-GB"/>
                    </w:rPr>
                    <w:t>Current</w:t>
                  </w:r>
                </w:p>
              </w:tc>
              <w:tc>
                <w:tcPr>
                  <w:tcW w:w="2050" w:type="dxa"/>
                </w:tcPr>
                <w:p w14:paraId="2A833EAE" w14:textId="055DC34F" w:rsidR="0099647D" w:rsidRDefault="006B7181" w:rsidP="006B7181">
                  <w:pPr>
                    <w:jc w:val="right"/>
                    <w:rPr>
                      <w:lang w:val="en-GB"/>
                    </w:rPr>
                  </w:pPr>
                  <w:r>
                    <w:rPr>
                      <w:lang w:val="en-GB"/>
                    </w:rPr>
                    <w:t>More than 30 days past due</w:t>
                  </w:r>
                </w:p>
              </w:tc>
              <w:tc>
                <w:tcPr>
                  <w:tcW w:w="2050" w:type="dxa"/>
                </w:tcPr>
                <w:p w14:paraId="08086F75" w14:textId="6D65CBB7" w:rsidR="0099647D" w:rsidRDefault="006B7181" w:rsidP="006B7181">
                  <w:pPr>
                    <w:jc w:val="right"/>
                    <w:rPr>
                      <w:lang w:val="en-GB"/>
                    </w:rPr>
                  </w:pPr>
                  <w:r>
                    <w:rPr>
                      <w:lang w:val="en-GB"/>
                    </w:rPr>
                    <w:t>More than 60 days past due</w:t>
                  </w:r>
                </w:p>
              </w:tc>
              <w:tc>
                <w:tcPr>
                  <w:tcW w:w="2050" w:type="dxa"/>
                </w:tcPr>
                <w:p w14:paraId="46A8919A" w14:textId="683DB717" w:rsidR="0099647D" w:rsidRDefault="006B7181" w:rsidP="006B7181">
                  <w:pPr>
                    <w:jc w:val="right"/>
                    <w:rPr>
                      <w:lang w:val="en-GB"/>
                    </w:rPr>
                  </w:pPr>
                  <w:r>
                    <w:rPr>
                      <w:lang w:val="en-GB"/>
                    </w:rPr>
                    <w:t>More than 120 days past due</w:t>
                  </w:r>
                </w:p>
              </w:tc>
              <w:tc>
                <w:tcPr>
                  <w:tcW w:w="2050" w:type="dxa"/>
                </w:tcPr>
                <w:p w14:paraId="4BE6A054" w14:textId="59C386A8" w:rsidR="0099647D" w:rsidRDefault="006B7181" w:rsidP="006B7181">
                  <w:pPr>
                    <w:jc w:val="right"/>
                    <w:rPr>
                      <w:lang w:val="en-GB"/>
                    </w:rPr>
                  </w:pPr>
                  <w:r>
                    <w:rPr>
                      <w:lang w:val="en-GB"/>
                    </w:rPr>
                    <w:t>Total</w:t>
                  </w:r>
                </w:p>
              </w:tc>
            </w:tr>
            <w:tr w:rsidR="0099647D" w14:paraId="7EF520E3" w14:textId="77777777" w:rsidTr="008605A3">
              <w:tc>
                <w:tcPr>
                  <w:tcW w:w="2253" w:type="dxa"/>
                </w:tcPr>
                <w:p w14:paraId="777C1599" w14:textId="047A4D87" w:rsidR="0099647D" w:rsidRDefault="006B7181" w:rsidP="006B7181">
                  <w:pPr>
                    <w:jc w:val="right"/>
                    <w:rPr>
                      <w:lang w:val="en-GB"/>
                    </w:rPr>
                  </w:pPr>
                  <w:r>
                    <w:rPr>
                      <w:lang w:val="en-GB"/>
                    </w:rPr>
                    <w:t>Expected loss rate</w:t>
                  </w:r>
                </w:p>
              </w:tc>
              <w:tc>
                <w:tcPr>
                  <w:tcW w:w="1845" w:type="dxa"/>
                </w:tcPr>
                <w:p w14:paraId="6E557887" w14:textId="286215A9" w:rsidR="0099647D" w:rsidRDefault="008605A3" w:rsidP="006B7181">
                  <w:pPr>
                    <w:jc w:val="right"/>
                    <w:rPr>
                      <w:lang w:val="en-GB"/>
                    </w:rPr>
                  </w:pPr>
                  <w:r>
                    <w:rPr>
                      <w:lang w:val="en-GB"/>
                    </w:rPr>
                    <w:t>5%</w:t>
                  </w:r>
                </w:p>
              </w:tc>
              <w:tc>
                <w:tcPr>
                  <w:tcW w:w="2050" w:type="dxa"/>
                </w:tcPr>
                <w:p w14:paraId="5FFDCD40" w14:textId="633349FA" w:rsidR="0099647D" w:rsidRDefault="008605A3" w:rsidP="006B7181">
                  <w:pPr>
                    <w:jc w:val="right"/>
                    <w:rPr>
                      <w:lang w:val="en-GB"/>
                    </w:rPr>
                  </w:pPr>
                  <w:r>
                    <w:rPr>
                      <w:lang w:val="en-GB"/>
                    </w:rPr>
                    <w:t>15%</w:t>
                  </w:r>
                </w:p>
              </w:tc>
              <w:tc>
                <w:tcPr>
                  <w:tcW w:w="2050" w:type="dxa"/>
                </w:tcPr>
                <w:p w14:paraId="26B7F3FB" w14:textId="0837E177" w:rsidR="0099647D" w:rsidRDefault="008605A3" w:rsidP="006B7181">
                  <w:pPr>
                    <w:jc w:val="right"/>
                    <w:rPr>
                      <w:lang w:val="en-GB"/>
                    </w:rPr>
                  </w:pPr>
                  <w:r>
                    <w:rPr>
                      <w:lang w:val="en-GB"/>
                    </w:rPr>
                    <w:t>25%</w:t>
                  </w:r>
                </w:p>
              </w:tc>
              <w:tc>
                <w:tcPr>
                  <w:tcW w:w="2050" w:type="dxa"/>
                </w:tcPr>
                <w:p w14:paraId="7A17B4F4" w14:textId="2E5C380F" w:rsidR="0099647D" w:rsidRDefault="008605A3" w:rsidP="006B7181">
                  <w:pPr>
                    <w:jc w:val="right"/>
                    <w:rPr>
                      <w:lang w:val="en-GB"/>
                    </w:rPr>
                  </w:pPr>
                  <w:r>
                    <w:rPr>
                      <w:lang w:val="en-GB"/>
                    </w:rPr>
                    <w:t>75%</w:t>
                  </w:r>
                </w:p>
              </w:tc>
              <w:tc>
                <w:tcPr>
                  <w:tcW w:w="2050" w:type="dxa"/>
                </w:tcPr>
                <w:p w14:paraId="7A85ED7F" w14:textId="77777777" w:rsidR="0099647D" w:rsidRDefault="0099647D" w:rsidP="006B7181">
                  <w:pPr>
                    <w:jc w:val="right"/>
                    <w:rPr>
                      <w:lang w:val="en-GB"/>
                    </w:rPr>
                  </w:pPr>
                </w:p>
              </w:tc>
            </w:tr>
            <w:tr w:rsidR="0099647D" w14:paraId="04F2B812" w14:textId="77777777" w:rsidTr="008605A3">
              <w:tc>
                <w:tcPr>
                  <w:tcW w:w="2253" w:type="dxa"/>
                </w:tcPr>
                <w:p w14:paraId="1CFB9921" w14:textId="7AC82C28" w:rsidR="0099647D" w:rsidRDefault="006B7181" w:rsidP="006B7181">
                  <w:pPr>
                    <w:jc w:val="right"/>
                    <w:rPr>
                      <w:lang w:val="en-GB"/>
                    </w:rPr>
                  </w:pPr>
                  <w:r>
                    <w:rPr>
                      <w:lang w:val="en-GB"/>
                    </w:rPr>
                    <w:t>Gross carrying amount</w:t>
                  </w:r>
                </w:p>
              </w:tc>
              <w:tc>
                <w:tcPr>
                  <w:tcW w:w="1845" w:type="dxa"/>
                </w:tcPr>
                <w:p w14:paraId="7B2E59C8" w14:textId="39985299" w:rsidR="0099647D" w:rsidRDefault="008605A3" w:rsidP="006B7181">
                  <w:pPr>
                    <w:jc w:val="right"/>
                    <w:rPr>
                      <w:lang w:val="en-GB"/>
                    </w:rPr>
                  </w:pPr>
                  <w:r>
                    <w:rPr>
                      <w:lang w:val="en-GB"/>
                    </w:rPr>
                    <w:t>140,000</w:t>
                  </w:r>
                </w:p>
              </w:tc>
              <w:tc>
                <w:tcPr>
                  <w:tcW w:w="2050" w:type="dxa"/>
                </w:tcPr>
                <w:p w14:paraId="3C3742D8" w14:textId="059DB27E" w:rsidR="0099647D" w:rsidRDefault="008605A3" w:rsidP="006B7181">
                  <w:pPr>
                    <w:jc w:val="right"/>
                    <w:rPr>
                      <w:lang w:val="en-GB"/>
                    </w:rPr>
                  </w:pPr>
                  <w:r>
                    <w:rPr>
                      <w:lang w:val="en-GB"/>
                    </w:rPr>
                    <w:t>50,000</w:t>
                  </w:r>
                </w:p>
              </w:tc>
              <w:tc>
                <w:tcPr>
                  <w:tcW w:w="2050" w:type="dxa"/>
                </w:tcPr>
                <w:p w14:paraId="2F0C359B" w14:textId="08504A81" w:rsidR="0099647D" w:rsidRDefault="008605A3" w:rsidP="006B7181">
                  <w:pPr>
                    <w:jc w:val="right"/>
                    <w:rPr>
                      <w:lang w:val="en-GB"/>
                    </w:rPr>
                  </w:pPr>
                  <w:r>
                    <w:rPr>
                      <w:lang w:val="en-GB"/>
                    </w:rPr>
                    <w:t>200,000</w:t>
                  </w:r>
                </w:p>
              </w:tc>
              <w:tc>
                <w:tcPr>
                  <w:tcW w:w="2050" w:type="dxa"/>
                </w:tcPr>
                <w:p w14:paraId="02714CAF" w14:textId="7C38116D" w:rsidR="0099647D" w:rsidRDefault="008605A3" w:rsidP="006B7181">
                  <w:pPr>
                    <w:jc w:val="right"/>
                    <w:rPr>
                      <w:lang w:val="en-GB"/>
                    </w:rPr>
                  </w:pPr>
                  <w:r>
                    <w:rPr>
                      <w:lang w:val="en-GB"/>
                    </w:rPr>
                    <w:t>350,000</w:t>
                  </w:r>
                </w:p>
              </w:tc>
              <w:tc>
                <w:tcPr>
                  <w:tcW w:w="2050" w:type="dxa"/>
                </w:tcPr>
                <w:p w14:paraId="4F979317" w14:textId="2096CA91" w:rsidR="0099647D" w:rsidRDefault="008605A3" w:rsidP="006B7181">
                  <w:pPr>
                    <w:jc w:val="right"/>
                    <w:rPr>
                      <w:lang w:val="en-GB"/>
                    </w:rPr>
                  </w:pPr>
                  <w:r>
                    <w:rPr>
                      <w:lang w:val="en-GB"/>
                    </w:rPr>
                    <w:t>740,000</w:t>
                  </w:r>
                </w:p>
              </w:tc>
            </w:tr>
            <w:tr w:rsidR="006B7181" w14:paraId="2BE37655" w14:textId="77777777" w:rsidTr="008605A3">
              <w:tc>
                <w:tcPr>
                  <w:tcW w:w="2253" w:type="dxa"/>
                </w:tcPr>
                <w:p w14:paraId="7AAC5F7F" w14:textId="7E9DCE4F" w:rsidR="006B7181" w:rsidRDefault="006B7181" w:rsidP="006B7181">
                  <w:pPr>
                    <w:jc w:val="right"/>
                    <w:rPr>
                      <w:lang w:val="en-GB"/>
                    </w:rPr>
                  </w:pPr>
                  <w:r>
                    <w:rPr>
                      <w:lang w:val="en-GB"/>
                    </w:rPr>
                    <w:t>ECL</w:t>
                  </w:r>
                </w:p>
              </w:tc>
              <w:tc>
                <w:tcPr>
                  <w:tcW w:w="1845" w:type="dxa"/>
                </w:tcPr>
                <w:p w14:paraId="41D87995" w14:textId="4A23A301" w:rsidR="006B7181" w:rsidRDefault="008605A3" w:rsidP="006B7181">
                  <w:pPr>
                    <w:jc w:val="right"/>
                    <w:rPr>
                      <w:lang w:val="en-GB"/>
                    </w:rPr>
                  </w:pPr>
                  <w:r>
                    <w:rPr>
                      <w:lang w:val="en-GB"/>
                    </w:rPr>
                    <w:t>7,000</w:t>
                  </w:r>
                </w:p>
              </w:tc>
              <w:tc>
                <w:tcPr>
                  <w:tcW w:w="2050" w:type="dxa"/>
                </w:tcPr>
                <w:p w14:paraId="28BD1914" w14:textId="3B085D57" w:rsidR="006B7181" w:rsidRDefault="008605A3" w:rsidP="006B7181">
                  <w:pPr>
                    <w:jc w:val="right"/>
                    <w:rPr>
                      <w:lang w:val="en-GB"/>
                    </w:rPr>
                  </w:pPr>
                  <w:r>
                    <w:rPr>
                      <w:lang w:val="en-GB"/>
                    </w:rPr>
                    <w:t>7,500</w:t>
                  </w:r>
                </w:p>
              </w:tc>
              <w:tc>
                <w:tcPr>
                  <w:tcW w:w="2050" w:type="dxa"/>
                </w:tcPr>
                <w:p w14:paraId="7977E6D5" w14:textId="06FA0A46" w:rsidR="006B7181" w:rsidRDefault="008605A3" w:rsidP="006B7181">
                  <w:pPr>
                    <w:jc w:val="right"/>
                    <w:rPr>
                      <w:lang w:val="en-GB"/>
                    </w:rPr>
                  </w:pPr>
                  <w:r>
                    <w:rPr>
                      <w:lang w:val="en-GB"/>
                    </w:rPr>
                    <w:t>50,000</w:t>
                  </w:r>
                </w:p>
              </w:tc>
              <w:tc>
                <w:tcPr>
                  <w:tcW w:w="2050" w:type="dxa"/>
                </w:tcPr>
                <w:p w14:paraId="07DF8007" w14:textId="1C364FED" w:rsidR="006B7181" w:rsidRDefault="008605A3" w:rsidP="006B7181">
                  <w:pPr>
                    <w:jc w:val="right"/>
                    <w:rPr>
                      <w:lang w:val="en-GB"/>
                    </w:rPr>
                  </w:pPr>
                  <w:r>
                    <w:rPr>
                      <w:lang w:val="en-GB"/>
                    </w:rPr>
                    <w:t>262,500</w:t>
                  </w:r>
                </w:p>
              </w:tc>
              <w:tc>
                <w:tcPr>
                  <w:tcW w:w="2050" w:type="dxa"/>
                </w:tcPr>
                <w:p w14:paraId="243F4FC1" w14:textId="591C93EA" w:rsidR="006B7181" w:rsidRDefault="008605A3" w:rsidP="006B7181">
                  <w:pPr>
                    <w:jc w:val="right"/>
                    <w:rPr>
                      <w:lang w:val="en-GB"/>
                    </w:rPr>
                  </w:pPr>
                  <w:r>
                    <w:rPr>
                      <w:lang w:val="en-GB"/>
                    </w:rPr>
                    <w:t>327,000</w:t>
                  </w:r>
                </w:p>
              </w:tc>
            </w:tr>
          </w:tbl>
          <w:p w14:paraId="7D00F867" w14:textId="7CF00FF3" w:rsidR="0099647D" w:rsidRDefault="0099647D" w:rsidP="006B7181">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3"/>
              <w:gridCol w:w="1845"/>
              <w:gridCol w:w="2050"/>
              <w:gridCol w:w="2050"/>
              <w:gridCol w:w="2050"/>
              <w:gridCol w:w="2050"/>
            </w:tblGrid>
            <w:tr w:rsidR="006B7181" w14:paraId="225BF8ED" w14:textId="77777777" w:rsidTr="008605A3">
              <w:tc>
                <w:tcPr>
                  <w:tcW w:w="2253" w:type="dxa"/>
                </w:tcPr>
                <w:p w14:paraId="542A22C7" w14:textId="6BFBC632" w:rsidR="006B7181" w:rsidRDefault="006B7181" w:rsidP="006B7181">
                  <w:pPr>
                    <w:jc w:val="right"/>
                    <w:rPr>
                      <w:lang w:val="en-GB"/>
                    </w:rPr>
                  </w:pPr>
                  <w:r>
                    <w:rPr>
                      <w:lang w:val="en-GB"/>
                    </w:rPr>
                    <w:t>31 December 2019</w:t>
                  </w:r>
                </w:p>
              </w:tc>
              <w:tc>
                <w:tcPr>
                  <w:tcW w:w="1845" w:type="dxa"/>
                </w:tcPr>
                <w:p w14:paraId="6F850EBF" w14:textId="77777777" w:rsidR="006B7181" w:rsidRDefault="006B7181" w:rsidP="006B7181">
                  <w:pPr>
                    <w:jc w:val="right"/>
                    <w:rPr>
                      <w:lang w:val="en-GB"/>
                    </w:rPr>
                  </w:pPr>
                  <w:r>
                    <w:rPr>
                      <w:lang w:val="en-GB"/>
                    </w:rPr>
                    <w:t>Current</w:t>
                  </w:r>
                </w:p>
              </w:tc>
              <w:tc>
                <w:tcPr>
                  <w:tcW w:w="2050" w:type="dxa"/>
                </w:tcPr>
                <w:p w14:paraId="5E93A926" w14:textId="77777777" w:rsidR="006B7181" w:rsidRDefault="006B7181" w:rsidP="006B7181">
                  <w:pPr>
                    <w:jc w:val="right"/>
                    <w:rPr>
                      <w:lang w:val="en-GB"/>
                    </w:rPr>
                  </w:pPr>
                  <w:r>
                    <w:rPr>
                      <w:lang w:val="en-GB"/>
                    </w:rPr>
                    <w:t>More than 30 days past due</w:t>
                  </w:r>
                </w:p>
              </w:tc>
              <w:tc>
                <w:tcPr>
                  <w:tcW w:w="2050" w:type="dxa"/>
                </w:tcPr>
                <w:p w14:paraId="61CD0912" w14:textId="77777777" w:rsidR="006B7181" w:rsidRDefault="006B7181" w:rsidP="006B7181">
                  <w:pPr>
                    <w:jc w:val="right"/>
                    <w:rPr>
                      <w:lang w:val="en-GB"/>
                    </w:rPr>
                  </w:pPr>
                  <w:r>
                    <w:rPr>
                      <w:lang w:val="en-GB"/>
                    </w:rPr>
                    <w:t>More than 60 days past due</w:t>
                  </w:r>
                </w:p>
              </w:tc>
              <w:tc>
                <w:tcPr>
                  <w:tcW w:w="2050" w:type="dxa"/>
                </w:tcPr>
                <w:p w14:paraId="11E1D175" w14:textId="77777777" w:rsidR="006B7181" w:rsidRDefault="006B7181" w:rsidP="006B7181">
                  <w:pPr>
                    <w:jc w:val="right"/>
                    <w:rPr>
                      <w:lang w:val="en-GB"/>
                    </w:rPr>
                  </w:pPr>
                  <w:r>
                    <w:rPr>
                      <w:lang w:val="en-GB"/>
                    </w:rPr>
                    <w:t>More than 120 days past due</w:t>
                  </w:r>
                </w:p>
              </w:tc>
              <w:tc>
                <w:tcPr>
                  <w:tcW w:w="2050" w:type="dxa"/>
                </w:tcPr>
                <w:p w14:paraId="1F2D27C8" w14:textId="77777777" w:rsidR="006B7181" w:rsidRDefault="006B7181" w:rsidP="006B7181">
                  <w:pPr>
                    <w:jc w:val="right"/>
                    <w:rPr>
                      <w:lang w:val="en-GB"/>
                    </w:rPr>
                  </w:pPr>
                  <w:r>
                    <w:rPr>
                      <w:lang w:val="en-GB"/>
                    </w:rPr>
                    <w:t>Total</w:t>
                  </w:r>
                </w:p>
              </w:tc>
            </w:tr>
            <w:tr w:rsidR="006B7181" w14:paraId="1F09A92B" w14:textId="77777777" w:rsidTr="008605A3">
              <w:tc>
                <w:tcPr>
                  <w:tcW w:w="2253" w:type="dxa"/>
                </w:tcPr>
                <w:p w14:paraId="3D696AB3" w14:textId="77777777" w:rsidR="006B7181" w:rsidRDefault="006B7181" w:rsidP="006B7181">
                  <w:pPr>
                    <w:jc w:val="right"/>
                    <w:rPr>
                      <w:lang w:val="en-GB"/>
                    </w:rPr>
                  </w:pPr>
                  <w:r>
                    <w:rPr>
                      <w:lang w:val="en-GB"/>
                    </w:rPr>
                    <w:t>Expected loss rate</w:t>
                  </w:r>
                </w:p>
              </w:tc>
              <w:tc>
                <w:tcPr>
                  <w:tcW w:w="1845" w:type="dxa"/>
                </w:tcPr>
                <w:p w14:paraId="102F1D43" w14:textId="6FC68A1E" w:rsidR="006B7181" w:rsidRDefault="000811F4" w:rsidP="006B7181">
                  <w:pPr>
                    <w:jc w:val="right"/>
                    <w:rPr>
                      <w:lang w:val="en-GB"/>
                    </w:rPr>
                  </w:pPr>
                  <w:r>
                    <w:rPr>
                      <w:lang w:val="en-GB"/>
                    </w:rPr>
                    <w:t>1%</w:t>
                  </w:r>
                </w:p>
              </w:tc>
              <w:tc>
                <w:tcPr>
                  <w:tcW w:w="2050" w:type="dxa"/>
                </w:tcPr>
                <w:p w14:paraId="7A824AB5" w14:textId="5699F944" w:rsidR="006B7181" w:rsidRDefault="000811F4" w:rsidP="006B7181">
                  <w:pPr>
                    <w:jc w:val="right"/>
                    <w:rPr>
                      <w:lang w:val="en-GB"/>
                    </w:rPr>
                  </w:pPr>
                  <w:r>
                    <w:rPr>
                      <w:lang w:val="en-GB"/>
                    </w:rPr>
                    <w:t>8%</w:t>
                  </w:r>
                </w:p>
              </w:tc>
              <w:tc>
                <w:tcPr>
                  <w:tcW w:w="2050" w:type="dxa"/>
                </w:tcPr>
                <w:p w14:paraId="73790ADF" w14:textId="02C4EAE2" w:rsidR="006B7181" w:rsidRDefault="000811F4" w:rsidP="006B7181">
                  <w:pPr>
                    <w:jc w:val="right"/>
                    <w:rPr>
                      <w:lang w:val="en-GB"/>
                    </w:rPr>
                  </w:pPr>
                  <w:r>
                    <w:rPr>
                      <w:lang w:val="en-GB"/>
                    </w:rPr>
                    <w:t>11%</w:t>
                  </w:r>
                </w:p>
              </w:tc>
              <w:tc>
                <w:tcPr>
                  <w:tcW w:w="2050" w:type="dxa"/>
                </w:tcPr>
                <w:p w14:paraId="05A2F671" w14:textId="2BD1EFD8" w:rsidR="006B7181" w:rsidRDefault="000811F4" w:rsidP="006B7181">
                  <w:pPr>
                    <w:jc w:val="right"/>
                    <w:rPr>
                      <w:lang w:val="en-GB"/>
                    </w:rPr>
                  </w:pPr>
                  <w:r>
                    <w:rPr>
                      <w:lang w:val="en-GB"/>
                    </w:rPr>
                    <w:t>35%</w:t>
                  </w:r>
                </w:p>
              </w:tc>
              <w:tc>
                <w:tcPr>
                  <w:tcW w:w="2050" w:type="dxa"/>
                </w:tcPr>
                <w:p w14:paraId="57D4F00B" w14:textId="77777777" w:rsidR="006B7181" w:rsidRDefault="006B7181" w:rsidP="006B7181">
                  <w:pPr>
                    <w:jc w:val="right"/>
                    <w:rPr>
                      <w:lang w:val="en-GB"/>
                    </w:rPr>
                  </w:pPr>
                </w:p>
              </w:tc>
            </w:tr>
            <w:tr w:rsidR="006B7181" w14:paraId="7B8B85CD" w14:textId="77777777" w:rsidTr="008605A3">
              <w:tc>
                <w:tcPr>
                  <w:tcW w:w="2253" w:type="dxa"/>
                </w:tcPr>
                <w:p w14:paraId="50ABA1EC" w14:textId="77777777" w:rsidR="006B7181" w:rsidRDefault="006B7181" w:rsidP="006B7181">
                  <w:pPr>
                    <w:jc w:val="right"/>
                    <w:rPr>
                      <w:lang w:val="en-GB"/>
                    </w:rPr>
                  </w:pPr>
                  <w:r>
                    <w:rPr>
                      <w:lang w:val="en-GB"/>
                    </w:rPr>
                    <w:t>Gross carrying amount</w:t>
                  </w:r>
                </w:p>
              </w:tc>
              <w:tc>
                <w:tcPr>
                  <w:tcW w:w="1845" w:type="dxa"/>
                </w:tcPr>
                <w:p w14:paraId="636FC9A0" w14:textId="45F6DAA9" w:rsidR="006B7181" w:rsidRDefault="000811F4" w:rsidP="006B7181">
                  <w:pPr>
                    <w:jc w:val="right"/>
                    <w:rPr>
                      <w:lang w:val="en-GB"/>
                    </w:rPr>
                  </w:pPr>
                  <w:r>
                    <w:rPr>
                      <w:lang w:val="en-GB"/>
                    </w:rPr>
                    <w:t>250,000</w:t>
                  </w:r>
                </w:p>
              </w:tc>
              <w:tc>
                <w:tcPr>
                  <w:tcW w:w="2050" w:type="dxa"/>
                </w:tcPr>
                <w:p w14:paraId="5296F8BC" w14:textId="76ECC61B" w:rsidR="006B7181" w:rsidRDefault="000811F4" w:rsidP="006B7181">
                  <w:pPr>
                    <w:jc w:val="right"/>
                    <w:rPr>
                      <w:lang w:val="en-GB"/>
                    </w:rPr>
                  </w:pPr>
                  <w:r>
                    <w:rPr>
                      <w:lang w:val="en-GB"/>
                    </w:rPr>
                    <w:t>275,000</w:t>
                  </w:r>
                </w:p>
              </w:tc>
              <w:tc>
                <w:tcPr>
                  <w:tcW w:w="2050" w:type="dxa"/>
                </w:tcPr>
                <w:p w14:paraId="04D11692" w14:textId="1A7D85CC" w:rsidR="006B7181" w:rsidRDefault="000811F4" w:rsidP="006B7181">
                  <w:pPr>
                    <w:jc w:val="right"/>
                    <w:rPr>
                      <w:lang w:val="en-GB"/>
                    </w:rPr>
                  </w:pPr>
                  <w:r>
                    <w:rPr>
                      <w:lang w:val="en-GB"/>
                    </w:rPr>
                    <w:t>45,000</w:t>
                  </w:r>
                </w:p>
              </w:tc>
              <w:tc>
                <w:tcPr>
                  <w:tcW w:w="2050" w:type="dxa"/>
                </w:tcPr>
                <w:p w14:paraId="645BA372" w14:textId="64ABA25A" w:rsidR="006B7181" w:rsidRDefault="000811F4" w:rsidP="006B7181">
                  <w:pPr>
                    <w:jc w:val="right"/>
                    <w:rPr>
                      <w:lang w:val="en-GB"/>
                    </w:rPr>
                  </w:pPr>
                  <w:r>
                    <w:rPr>
                      <w:lang w:val="en-GB"/>
                    </w:rPr>
                    <w:t>25,000</w:t>
                  </w:r>
                </w:p>
              </w:tc>
              <w:tc>
                <w:tcPr>
                  <w:tcW w:w="2050" w:type="dxa"/>
                </w:tcPr>
                <w:p w14:paraId="2A9A4666" w14:textId="38BA38A4" w:rsidR="006B7181" w:rsidRDefault="000811F4" w:rsidP="006B7181">
                  <w:pPr>
                    <w:jc w:val="right"/>
                    <w:rPr>
                      <w:lang w:val="en-GB"/>
                    </w:rPr>
                  </w:pPr>
                  <w:r>
                    <w:rPr>
                      <w:lang w:val="en-GB"/>
                    </w:rPr>
                    <w:t>595,000</w:t>
                  </w:r>
                </w:p>
              </w:tc>
            </w:tr>
            <w:tr w:rsidR="006B7181" w14:paraId="59564862" w14:textId="77777777" w:rsidTr="008605A3">
              <w:tc>
                <w:tcPr>
                  <w:tcW w:w="2253" w:type="dxa"/>
                </w:tcPr>
                <w:p w14:paraId="32990601" w14:textId="77777777" w:rsidR="006B7181" w:rsidRDefault="006B7181" w:rsidP="006B7181">
                  <w:pPr>
                    <w:jc w:val="right"/>
                    <w:rPr>
                      <w:lang w:val="en-GB"/>
                    </w:rPr>
                  </w:pPr>
                  <w:r>
                    <w:rPr>
                      <w:lang w:val="en-GB"/>
                    </w:rPr>
                    <w:t>ECL</w:t>
                  </w:r>
                </w:p>
              </w:tc>
              <w:tc>
                <w:tcPr>
                  <w:tcW w:w="1845" w:type="dxa"/>
                </w:tcPr>
                <w:p w14:paraId="33882A02" w14:textId="1E5847A5" w:rsidR="006B7181" w:rsidRDefault="000811F4" w:rsidP="006B7181">
                  <w:pPr>
                    <w:jc w:val="right"/>
                    <w:rPr>
                      <w:lang w:val="en-GB"/>
                    </w:rPr>
                  </w:pPr>
                  <w:r>
                    <w:rPr>
                      <w:lang w:val="en-GB"/>
                    </w:rPr>
                    <w:t>2,500</w:t>
                  </w:r>
                </w:p>
              </w:tc>
              <w:tc>
                <w:tcPr>
                  <w:tcW w:w="2050" w:type="dxa"/>
                </w:tcPr>
                <w:p w14:paraId="09C059CF" w14:textId="6544B98D" w:rsidR="006B7181" w:rsidRDefault="000811F4" w:rsidP="006B7181">
                  <w:pPr>
                    <w:jc w:val="right"/>
                    <w:rPr>
                      <w:lang w:val="en-GB"/>
                    </w:rPr>
                  </w:pPr>
                  <w:r>
                    <w:rPr>
                      <w:lang w:val="en-GB"/>
                    </w:rPr>
                    <w:t>22,000</w:t>
                  </w:r>
                </w:p>
              </w:tc>
              <w:tc>
                <w:tcPr>
                  <w:tcW w:w="2050" w:type="dxa"/>
                </w:tcPr>
                <w:p w14:paraId="33420DD3" w14:textId="3080B7F2" w:rsidR="006B7181" w:rsidRDefault="000811F4" w:rsidP="006B7181">
                  <w:pPr>
                    <w:jc w:val="right"/>
                    <w:rPr>
                      <w:lang w:val="en-GB"/>
                    </w:rPr>
                  </w:pPr>
                  <w:r>
                    <w:rPr>
                      <w:lang w:val="en-GB"/>
                    </w:rPr>
                    <w:t>4,950</w:t>
                  </w:r>
                </w:p>
              </w:tc>
              <w:tc>
                <w:tcPr>
                  <w:tcW w:w="2050" w:type="dxa"/>
                </w:tcPr>
                <w:p w14:paraId="08193744" w14:textId="1B9829EB" w:rsidR="006B7181" w:rsidRDefault="000811F4" w:rsidP="006B7181">
                  <w:pPr>
                    <w:jc w:val="right"/>
                    <w:rPr>
                      <w:lang w:val="en-GB"/>
                    </w:rPr>
                  </w:pPr>
                  <w:r>
                    <w:rPr>
                      <w:lang w:val="en-GB"/>
                    </w:rPr>
                    <w:t>8,750</w:t>
                  </w:r>
                </w:p>
              </w:tc>
              <w:tc>
                <w:tcPr>
                  <w:tcW w:w="2050" w:type="dxa"/>
                </w:tcPr>
                <w:p w14:paraId="4A69D67D" w14:textId="4412F066" w:rsidR="006B7181" w:rsidRDefault="000811F4" w:rsidP="006B7181">
                  <w:pPr>
                    <w:jc w:val="right"/>
                    <w:rPr>
                      <w:lang w:val="en-GB"/>
                    </w:rPr>
                  </w:pPr>
                  <w:r>
                    <w:rPr>
                      <w:lang w:val="en-GB"/>
                    </w:rPr>
                    <w:t>38,200</w:t>
                  </w:r>
                </w:p>
              </w:tc>
            </w:tr>
          </w:tbl>
          <w:p w14:paraId="4DE28934" w14:textId="7803843D" w:rsidR="0099647D" w:rsidRPr="00AB0C4E" w:rsidRDefault="0099647D" w:rsidP="001F50DB">
            <w:pPr>
              <w:rPr>
                <w:lang w:val="en-GB"/>
              </w:rPr>
            </w:pPr>
          </w:p>
        </w:tc>
      </w:tr>
      <w:tr w:rsidR="000C1E9D" w:rsidRPr="00AB0C4E" w14:paraId="7BFA3E26" w14:textId="77777777" w:rsidTr="001F50DB">
        <w:tc>
          <w:tcPr>
            <w:tcW w:w="1469" w:type="dxa"/>
            <w:shd w:val="clear" w:color="auto" w:fill="FFFFFF" w:themeFill="background1"/>
          </w:tcPr>
          <w:p w14:paraId="1DC9AAB4" w14:textId="77777777" w:rsidR="000C1E9D" w:rsidRPr="00AB0C4E" w:rsidRDefault="000C1E9D" w:rsidP="001F50DB">
            <w:pPr>
              <w:jc w:val="right"/>
              <w:rPr>
                <w:lang w:val="en-GB"/>
              </w:rPr>
            </w:pPr>
          </w:p>
        </w:tc>
        <w:tc>
          <w:tcPr>
            <w:tcW w:w="12524" w:type="dxa"/>
            <w:shd w:val="clear" w:color="auto" w:fill="FFFFFF" w:themeFill="background1"/>
          </w:tcPr>
          <w:p w14:paraId="5CA6899D" w14:textId="0CC602FB" w:rsidR="000C1E9D" w:rsidRPr="00AB0C4E" w:rsidRDefault="000C1E9D" w:rsidP="001F50DB">
            <w:pPr>
              <w:rPr>
                <w:lang w:val="en-GB"/>
              </w:rPr>
            </w:pPr>
            <w:r w:rsidRPr="00AB0C4E">
              <w:rPr>
                <w:i/>
                <w:iCs/>
                <w:lang w:val="en-GB"/>
              </w:rPr>
              <w:t xml:space="preserve">Analysis: </w:t>
            </w:r>
            <w:r w:rsidR="00A81687">
              <w:rPr>
                <w:i/>
                <w:iCs/>
                <w:lang w:val="en-GB"/>
              </w:rPr>
              <w:t xml:space="preserve">this publication does not illustrate the effects of COVID-19 on credit entities such as banks, credit unions and other financial institutions. </w:t>
            </w:r>
          </w:p>
        </w:tc>
      </w:tr>
    </w:tbl>
    <w:p w14:paraId="0E70AE7A" w14:textId="5AAF13FC" w:rsidR="000C1E9D" w:rsidRPr="0099647D" w:rsidRDefault="00F43580" w:rsidP="0099647D">
      <w:pPr>
        <w:pStyle w:val="2kopBDO"/>
        <w:rPr>
          <w:i/>
          <w:iCs/>
          <w:lang w:val="en-GB"/>
        </w:rPr>
      </w:pPr>
      <w:bookmarkStart w:id="16" w:name="B11"/>
      <w:r w:rsidRPr="00AB0C4E">
        <w:rPr>
          <w:lang w:val="en-GB"/>
        </w:rPr>
        <w:lastRenderedPageBreak/>
        <w:t xml:space="preserve">B.11 </w:t>
      </w:r>
      <w:bookmarkEnd w:id="16"/>
      <w:r w:rsidRPr="00AB0C4E">
        <w:rPr>
          <w:lang w:val="en-GB"/>
        </w:rPr>
        <w:t xml:space="preserve">– LEASES: PRACTICAL EXPEDIENT, </w:t>
      </w:r>
      <w:r w:rsidRPr="00AB0C4E">
        <w:rPr>
          <w:i/>
          <w:iCs/>
          <w:lang w:val="en-GB"/>
        </w:rPr>
        <w:t>COVID-19 RELATED RENT CONCESSIONS</w:t>
      </w:r>
    </w:p>
    <w:tbl>
      <w:tblPr>
        <w:tblStyle w:val="TableGrid"/>
        <w:tblW w:w="13993" w:type="dxa"/>
        <w:tblLook w:val="04A0" w:firstRow="1" w:lastRow="0" w:firstColumn="1" w:lastColumn="0" w:noHBand="0" w:noVBand="1"/>
      </w:tblPr>
      <w:tblGrid>
        <w:gridCol w:w="1469"/>
        <w:gridCol w:w="12524"/>
      </w:tblGrid>
      <w:tr w:rsidR="000C1E9D" w:rsidRPr="00AB0C4E" w14:paraId="0CEDED1C" w14:textId="77777777" w:rsidTr="001F50DB">
        <w:tc>
          <w:tcPr>
            <w:tcW w:w="13993" w:type="dxa"/>
            <w:gridSpan w:val="2"/>
            <w:shd w:val="clear" w:color="auto" w:fill="218F8B" w:themeFill="background2"/>
          </w:tcPr>
          <w:p w14:paraId="1E06D379" w14:textId="52F8E138" w:rsidR="000C1E9D" w:rsidRPr="00AB0C4E" w:rsidRDefault="000C1E9D" w:rsidP="001F50DB">
            <w:pPr>
              <w:rPr>
                <w:color w:val="FFFFFF" w:themeColor="background1"/>
                <w:lang w:val="en-GB"/>
              </w:rPr>
            </w:pPr>
            <w:r w:rsidRPr="00AB0C4E">
              <w:rPr>
                <w:color w:val="FFFFFF" w:themeColor="background1"/>
                <w:lang w:val="en-GB"/>
              </w:rPr>
              <w:t>B.</w:t>
            </w:r>
            <w:r w:rsidR="0089717D">
              <w:rPr>
                <w:color w:val="FFFFFF" w:themeColor="background1"/>
                <w:lang w:val="en-GB"/>
              </w:rPr>
              <w:t>11</w:t>
            </w:r>
            <w:r w:rsidRPr="00AB0C4E">
              <w:rPr>
                <w:color w:val="FFFFFF" w:themeColor="background1"/>
                <w:lang w:val="en-GB"/>
              </w:rPr>
              <w:t xml:space="preserve"> –</w:t>
            </w:r>
            <w:r w:rsidR="0089717D">
              <w:rPr>
                <w:color w:val="FFFFFF" w:themeColor="background1"/>
                <w:lang w:val="en-GB"/>
              </w:rPr>
              <w:t xml:space="preserve"> rent concessions accounted for using the practical expedient </w:t>
            </w:r>
          </w:p>
          <w:p w14:paraId="06EB9BE8" w14:textId="77777777" w:rsidR="000C1E9D" w:rsidRPr="00AB0C4E" w:rsidRDefault="000C1E9D" w:rsidP="001F50DB">
            <w:pPr>
              <w:rPr>
                <w:color w:val="FFFFFF" w:themeColor="background1"/>
                <w:lang w:val="en-GB"/>
              </w:rPr>
            </w:pPr>
          </w:p>
          <w:p w14:paraId="17C8C9AF" w14:textId="42227BF3" w:rsidR="000C1E9D" w:rsidRPr="00AB0C4E" w:rsidRDefault="000C1E9D" w:rsidP="001F50DB">
            <w:pPr>
              <w:rPr>
                <w:color w:val="FFFFFF" w:themeColor="background1"/>
                <w:lang w:val="en-GB"/>
              </w:rPr>
            </w:pPr>
            <w:r w:rsidRPr="00AB0C4E">
              <w:rPr>
                <w:color w:val="FFFFFF" w:themeColor="background1"/>
                <w:lang w:val="en-GB"/>
              </w:rPr>
              <w:t>Additional information:</w:t>
            </w:r>
            <w:r w:rsidR="0089717D">
              <w:rPr>
                <w:color w:val="FFFFFF" w:themeColor="background1"/>
                <w:lang w:val="en-GB"/>
              </w:rPr>
              <w:t xml:space="preserve"> Z Layout entered into numerous rent concessions with lessors during 2020. </w:t>
            </w:r>
          </w:p>
        </w:tc>
      </w:tr>
      <w:tr w:rsidR="000C1E9D" w:rsidRPr="00AB0C4E" w14:paraId="3EF77079" w14:textId="77777777" w:rsidTr="001F50DB">
        <w:tc>
          <w:tcPr>
            <w:tcW w:w="1469" w:type="dxa"/>
            <w:shd w:val="clear" w:color="auto" w:fill="657C91" w:themeFill="accent4"/>
          </w:tcPr>
          <w:p w14:paraId="1EADF6EF" w14:textId="77777777" w:rsidR="000C1E9D" w:rsidRPr="00AB0C4E" w:rsidRDefault="000C1E9D" w:rsidP="001F50DB">
            <w:pPr>
              <w:jc w:val="right"/>
              <w:rPr>
                <w:color w:val="FFFFFF" w:themeColor="background1"/>
                <w:lang w:val="en-GB"/>
              </w:rPr>
            </w:pPr>
            <w:r w:rsidRPr="00AB0C4E">
              <w:rPr>
                <w:color w:val="FFFFFF" w:themeColor="background1"/>
                <w:lang w:val="en-GB"/>
              </w:rPr>
              <w:t>Reference(s)</w:t>
            </w:r>
          </w:p>
        </w:tc>
        <w:tc>
          <w:tcPr>
            <w:tcW w:w="12524" w:type="dxa"/>
            <w:shd w:val="clear" w:color="auto" w:fill="657C91" w:themeFill="accent4"/>
          </w:tcPr>
          <w:p w14:paraId="12E6E54D" w14:textId="77777777" w:rsidR="000C1E9D" w:rsidRPr="00AB0C4E" w:rsidRDefault="000C1E9D" w:rsidP="001F50DB">
            <w:pPr>
              <w:rPr>
                <w:color w:val="FFFFFF" w:themeColor="background1"/>
                <w:lang w:val="en-GB"/>
              </w:rPr>
            </w:pPr>
            <w:r w:rsidRPr="00AB0C4E">
              <w:rPr>
                <w:color w:val="FFFFFF" w:themeColor="background1"/>
                <w:lang w:val="en-GB"/>
              </w:rPr>
              <w:t xml:space="preserve">Illustrative disclosure </w:t>
            </w:r>
          </w:p>
        </w:tc>
      </w:tr>
      <w:tr w:rsidR="000C1E9D" w:rsidRPr="00AB0C4E" w14:paraId="2521B153" w14:textId="77777777" w:rsidTr="001F50DB">
        <w:tc>
          <w:tcPr>
            <w:tcW w:w="1469" w:type="dxa"/>
            <w:shd w:val="clear" w:color="auto" w:fill="FFFFFF" w:themeFill="background1"/>
          </w:tcPr>
          <w:p w14:paraId="74802597" w14:textId="77777777" w:rsidR="000C1E9D" w:rsidRDefault="000C1E9D" w:rsidP="0089717D">
            <w:pPr>
              <w:jc w:val="right"/>
              <w:rPr>
                <w:lang w:val="en-GB"/>
              </w:rPr>
            </w:pPr>
          </w:p>
          <w:p w14:paraId="7027F75E" w14:textId="77777777" w:rsidR="0089717D" w:rsidRDefault="0089717D" w:rsidP="0089717D">
            <w:pPr>
              <w:jc w:val="right"/>
              <w:rPr>
                <w:lang w:val="en-GB"/>
              </w:rPr>
            </w:pPr>
          </w:p>
          <w:p w14:paraId="523943B8" w14:textId="77777777" w:rsidR="0089717D" w:rsidRDefault="0089717D" w:rsidP="0089717D">
            <w:pPr>
              <w:jc w:val="right"/>
              <w:rPr>
                <w:lang w:val="en-GB"/>
              </w:rPr>
            </w:pPr>
          </w:p>
          <w:p w14:paraId="4B8CFF45" w14:textId="77777777" w:rsidR="0089717D" w:rsidRDefault="0089717D" w:rsidP="0089717D">
            <w:pPr>
              <w:jc w:val="right"/>
              <w:rPr>
                <w:lang w:val="en-GB"/>
              </w:rPr>
            </w:pPr>
          </w:p>
          <w:p w14:paraId="11AFDA8E" w14:textId="77777777" w:rsidR="0089717D" w:rsidRDefault="0089717D" w:rsidP="0089717D">
            <w:pPr>
              <w:jc w:val="right"/>
              <w:rPr>
                <w:lang w:val="en-GB"/>
              </w:rPr>
            </w:pPr>
          </w:p>
          <w:p w14:paraId="610EF511" w14:textId="77777777" w:rsidR="0089717D" w:rsidRDefault="0089717D" w:rsidP="0089717D">
            <w:pPr>
              <w:jc w:val="right"/>
              <w:rPr>
                <w:lang w:val="en-GB"/>
              </w:rPr>
            </w:pPr>
          </w:p>
          <w:p w14:paraId="44A507E6" w14:textId="77777777" w:rsidR="0089717D" w:rsidRDefault="0089717D" w:rsidP="0089717D">
            <w:pPr>
              <w:jc w:val="right"/>
              <w:rPr>
                <w:lang w:val="en-GB"/>
              </w:rPr>
            </w:pPr>
          </w:p>
          <w:p w14:paraId="770CD4FB" w14:textId="77777777" w:rsidR="0089717D" w:rsidRDefault="0089717D" w:rsidP="0089717D">
            <w:pPr>
              <w:jc w:val="right"/>
              <w:rPr>
                <w:lang w:val="en-GB"/>
              </w:rPr>
            </w:pPr>
          </w:p>
          <w:p w14:paraId="1AB7037E" w14:textId="77777777" w:rsidR="0089717D" w:rsidRDefault="0089717D" w:rsidP="0089717D">
            <w:pPr>
              <w:jc w:val="right"/>
              <w:rPr>
                <w:lang w:val="en-GB"/>
              </w:rPr>
            </w:pPr>
          </w:p>
          <w:p w14:paraId="3B28953D" w14:textId="77777777" w:rsidR="0089717D" w:rsidRDefault="0089717D" w:rsidP="003364A4">
            <w:pPr>
              <w:rPr>
                <w:lang w:val="en-GB"/>
              </w:rPr>
            </w:pPr>
          </w:p>
          <w:p w14:paraId="4A318DF2" w14:textId="77777777" w:rsidR="0089717D" w:rsidRDefault="0089717D" w:rsidP="0089717D">
            <w:pPr>
              <w:jc w:val="right"/>
              <w:rPr>
                <w:lang w:val="en-GB"/>
              </w:rPr>
            </w:pPr>
          </w:p>
          <w:p w14:paraId="03D48D71" w14:textId="77777777" w:rsidR="0089717D" w:rsidRDefault="0089717D" w:rsidP="0089717D">
            <w:pPr>
              <w:jc w:val="right"/>
              <w:rPr>
                <w:lang w:val="en-GB"/>
              </w:rPr>
            </w:pPr>
            <w:r>
              <w:rPr>
                <w:lang w:val="en-GB"/>
              </w:rPr>
              <w:t>IFRS 16.60A(a)</w:t>
            </w:r>
          </w:p>
          <w:p w14:paraId="7B6581CA" w14:textId="77777777" w:rsidR="0089717D" w:rsidRDefault="0089717D" w:rsidP="0089717D">
            <w:pPr>
              <w:jc w:val="right"/>
              <w:rPr>
                <w:lang w:val="en-GB"/>
              </w:rPr>
            </w:pPr>
          </w:p>
          <w:p w14:paraId="783F43DB" w14:textId="77777777" w:rsidR="0089717D" w:rsidRDefault="0089717D" w:rsidP="0089717D">
            <w:pPr>
              <w:jc w:val="right"/>
              <w:rPr>
                <w:lang w:val="en-GB"/>
              </w:rPr>
            </w:pPr>
          </w:p>
          <w:p w14:paraId="35A29FF5" w14:textId="0460A411" w:rsidR="0089717D" w:rsidRPr="00AB0C4E" w:rsidRDefault="0089717D" w:rsidP="0089717D">
            <w:pPr>
              <w:jc w:val="right"/>
              <w:rPr>
                <w:lang w:val="en-GB"/>
              </w:rPr>
            </w:pPr>
            <w:r>
              <w:rPr>
                <w:lang w:val="en-GB"/>
              </w:rPr>
              <w:t>IFRS 16.60A(b)</w:t>
            </w:r>
          </w:p>
        </w:tc>
        <w:tc>
          <w:tcPr>
            <w:tcW w:w="12524" w:type="dxa"/>
            <w:shd w:val="clear" w:color="auto" w:fill="FFFFFF" w:themeFill="background1"/>
          </w:tcPr>
          <w:p w14:paraId="13ECF1E8" w14:textId="7E303E15" w:rsidR="00E44A6F" w:rsidRDefault="00E44A6F" w:rsidP="0089717D">
            <w:pPr>
              <w:rPr>
                <w:rFonts w:cstheme="minorHAnsi"/>
                <w:snapToGrid w:val="0"/>
              </w:rPr>
            </w:pPr>
            <w:r>
              <w:rPr>
                <w:rFonts w:cstheme="minorHAnsi"/>
                <w:snapToGrid w:val="0"/>
              </w:rPr>
              <w:t xml:space="preserve">Due to government policy, </w:t>
            </w:r>
            <w:r w:rsidR="0041231E">
              <w:rPr>
                <w:rFonts w:cstheme="minorHAnsi"/>
                <w:snapToGrid w:val="0"/>
              </w:rPr>
              <w:t>the Company</w:t>
            </w:r>
            <w:r>
              <w:rPr>
                <w:rFonts w:cstheme="minorHAnsi"/>
                <w:snapToGrid w:val="0"/>
              </w:rPr>
              <w:t xml:space="preserve"> had to close substantially all of its stores in March 2020. Certain locations were able to reopen in Countries A and B during </w:t>
            </w:r>
            <w:r w:rsidR="00867715">
              <w:rPr>
                <w:rFonts w:cstheme="minorHAnsi"/>
                <w:snapToGrid w:val="0"/>
              </w:rPr>
              <w:t>September</w:t>
            </w:r>
            <w:r>
              <w:rPr>
                <w:rFonts w:cstheme="minorHAnsi"/>
                <w:snapToGrid w:val="0"/>
              </w:rPr>
              <w:t xml:space="preserve"> 2020, however, a significant number of stores remain closed as at </w:t>
            </w:r>
            <w:r w:rsidR="00867715">
              <w:rPr>
                <w:rFonts w:cstheme="minorHAnsi"/>
                <w:snapToGrid w:val="0"/>
              </w:rPr>
              <w:t>31</w:t>
            </w:r>
            <w:r>
              <w:rPr>
                <w:rFonts w:cstheme="minorHAnsi"/>
                <w:snapToGrid w:val="0"/>
              </w:rPr>
              <w:t xml:space="preserve"> </w:t>
            </w:r>
            <w:r w:rsidR="00867715">
              <w:rPr>
                <w:rFonts w:cstheme="minorHAnsi"/>
                <w:snapToGrid w:val="0"/>
              </w:rPr>
              <w:t>December</w:t>
            </w:r>
            <w:r>
              <w:rPr>
                <w:rFonts w:cstheme="minorHAnsi"/>
                <w:snapToGrid w:val="0"/>
              </w:rPr>
              <w:t xml:space="preserve"> 2020. </w:t>
            </w:r>
          </w:p>
          <w:p w14:paraId="04090BF4" w14:textId="77777777" w:rsidR="00E44A6F" w:rsidRDefault="00E44A6F" w:rsidP="0089717D">
            <w:pPr>
              <w:rPr>
                <w:rFonts w:cstheme="minorHAnsi"/>
                <w:snapToGrid w:val="0"/>
              </w:rPr>
            </w:pPr>
          </w:p>
          <w:p w14:paraId="6A1C4BBB" w14:textId="62D1BB6E" w:rsidR="00E44A6F" w:rsidRDefault="00867715" w:rsidP="0089717D">
            <w:pPr>
              <w:rPr>
                <w:rFonts w:cstheme="minorHAnsi"/>
                <w:snapToGrid w:val="0"/>
              </w:rPr>
            </w:pPr>
            <w:r>
              <w:rPr>
                <w:rFonts w:cstheme="minorHAnsi"/>
                <w:snapToGrid w:val="0"/>
              </w:rPr>
              <w:t>The Company</w:t>
            </w:r>
            <w:r w:rsidR="00E44A6F">
              <w:rPr>
                <w:rFonts w:cstheme="minorHAnsi"/>
                <w:snapToGrid w:val="0"/>
              </w:rPr>
              <w:t xml:space="preserve"> has received numerous forms of rent concessions from lessors due to </w:t>
            </w:r>
            <w:r>
              <w:rPr>
                <w:rFonts w:cstheme="minorHAnsi"/>
                <w:snapToGrid w:val="0"/>
              </w:rPr>
              <w:t>the Company</w:t>
            </w:r>
            <w:r w:rsidR="00E44A6F">
              <w:rPr>
                <w:rFonts w:cstheme="minorHAnsi"/>
                <w:snapToGrid w:val="0"/>
              </w:rPr>
              <w:t xml:space="preserve"> being unable to operate for significant periods of time, including:</w:t>
            </w:r>
          </w:p>
          <w:p w14:paraId="5A9238B2" w14:textId="77777777" w:rsidR="00E44A6F" w:rsidRDefault="00E44A6F" w:rsidP="0089717D">
            <w:pPr>
              <w:ind w:left="540"/>
              <w:rPr>
                <w:rFonts w:cstheme="minorHAnsi"/>
                <w:snapToGrid w:val="0"/>
              </w:rPr>
            </w:pPr>
          </w:p>
          <w:p w14:paraId="3695F6DB" w14:textId="77777777" w:rsidR="00E44A6F" w:rsidRDefault="00E44A6F" w:rsidP="0089717D">
            <w:pPr>
              <w:pStyle w:val="ListParagraph"/>
              <w:numPr>
                <w:ilvl w:val="0"/>
                <w:numId w:val="40"/>
              </w:numPr>
              <w:ind w:left="690"/>
              <w:rPr>
                <w:rFonts w:cstheme="minorHAnsi"/>
                <w:snapToGrid w:val="0"/>
              </w:rPr>
            </w:pPr>
            <w:r>
              <w:rPr>
                <w:rFonts w:cstheme="minorHAnsi"/>
                <w:snapToGrid w:val="0"/>
              </w:rPr>
              <w:t>Rent forgiveness (e.g. reductions in rent contractually due under the terms of lease agreements);</w:t>
            </w:r>
          </w:p>
          <w:p w14:paraId="322C0281" w14:textId="24C8D2A1" w:rsidR="00E44A6F" w:rsidRDefault="00E44A6F" w:rsidP="0089717D">
            <w:pPr>
              <w:pStyle w:val="ListParagraph"/>
              <w:numPr>
                <w:ilvl w:val="0"/>
                <w:numId w:val="40"/>
              </w:numPr>
              <w:ind w:left="690"/>
              <w:rPr>
                <w:rFonts w:cstheme="minorHAnsi"/>
                <w:snapToGrid w:val="0"/>
              </w:rPr>
            </w:pPr>
            <w:r>
              <w:rPr>
                <w:rFonts w:cstheme="minorHAnsi"/>
                <w:snapToGrid w:val="0"/>
              </w:rPr>
              <w:t>Deferrals of rent (e.g. payment of April-June</w:t>
            </w:r>
            <w:r w:rsidR="00891C7F">
              <w:rPr>
                <w:rFonts w:cstheme="minorHAnsi"/>
                <w:snapToGrid w:val="0"/>
              </w:rPr>
              <w:t xml:space="preserve"> 2020</w:t>
            </w:r>
            <w:r>
              <w:rPr>
                <w:rFonts w:cstheme="minorHAnsi"/>
                <w:snapToGrid w:val="0"/>
              </w:rPr>
              <w:t xml:space="preserve"> rent on an amortised basis from July 2020 – March 2021); and</w:t>
            </w:r>
          </w:p>
          <w:p w14:paraId="5D68EB9F" w14:textId="77777777" w:rsidR="00E44A6F" w:rsidRDefault="00E44A6F" w:rsidP="0089717D">
            <w:pPr>
              <w:pStyle w:val="ListParagraph"/>
              <w:numPr>
                <w:ilvl w:val="0"/>
                <w:numId w:val="40"/>
              </w:numPr>
              <w:ind w:left="690"/>
              <w:rPr>
                <w:rFonts w:cstheme="minorHAnsi"/>
                <w:snapToGrid w:val="0"/>
              </w:rPr>
            </w:pPr>
            <w:r>
              <w:rPr>
                <w:rFonts w:cstheme="minorHAnsi"/>
                <w:snapToGrid w:val="0"/>
              </w:rPr>
              <w:t xml:space="preserve">Conversion of a portion of fixed lease payments to variable lease payments not based on an index or rate (e.g. forgiveness of fixed monthly rent in exchange for a percentage of sales generated at store locations in the future). </w:t>
            </w:r>
          </w:p>
          <w:p w14:paraId="1D242E05" w14:textId="77777777" w:rsidR="00E44A6F" w:rsidRDefault="00E44A6F" w:rsidP="0089717D">
            <w:pPr>
              <w:rPr>
                <w:rFonts w:cstheme="minorHAnsi"/>
                <w:snapToGrid w:val="0"/>
              </w:rPr>
            </w:pPr>
          </w:p>
          <w:p w14:paraId="100647F1" w14:textId="4BB8A139" w:rsidR="00E44A6F" w:rsidRDefault="00E44A6F" w:rsidP="0089717D">
            <w:pPr>
              <w:rPr>
                <w:rFonts w:cstheme="minorHAnsi"/>
                <w:snapToGrid w:val="0"/>
              </w:rPr>
            </w:pPr>
            <w:r w:rsidRPr="00C377E7">
              <w:rPr>
                <w:rFonts w:cstheme="minorHAnsi"/>
                <w:snapToGrid w:val="0"/>
              </w:rPr>
              <w:t xml:space="preserve">As discussed in </w:t>
            </w:r>
            <w:r w:rsidR="00867715">
              <w:rPr>
                <w:rFonts w:cstheme="minorHAnsi"/>
                <w:snapToGrid w:val="0"/>
              </w:rPr>
              <w:t>n</w:t>
            </w:r>
            <w:r w:rsidRPr="00C377E7">
              <w:rPr>
                <w:rFonts w:cstheme="minorHAnsi"/>
                <w:snapToGrid w:val="0"/>
              </w:rPr>
              <w:t xml:space="preserve">ote </w:t>
            </w:r>
            <w:r w:rsidR="00867715">
              <w:rPr>
                <w:rFonts w:cstheme="minorHAnsi"/>
                <w:snapToGrid w:val="0"/>
              </w:rPr>
              <w:t>X (summary of significant accounting policies)</w:t>
            </w:r>
            <w:r w:rsidRPr="00C377E7">
              <w:rPr>
                <w:rFonts w:cstheme="minorHAnsi"/>
                <w:snapToGrid w:val="0"/>
              </w:rPr>
              <w:t xml:space="preserve">, </w:t>
            </w:r>
            <w:r w:rsidR="00867715">
              <w:rPr>
                <w:rFonts w:cstheme="minorHAnsi"/>
                <w:snapToGrid w:val="0"/>
              </w:rPr>
              <w:t>the Company</w:t>
            </w:r>
            <w:r>
              <w:rPr>
                <w:rFonts w:cstheme="minorHAnsi"/>
                <w:snapToGrid w:val="0"/>
              </w:rPr>
              <w:t xml:space="preserve"> has elected to apply the practical expedient introduced by the amendments to IFRS 16 to all rent concessions that satisfy the criteria. Substantially </w:t>
            </w:r>
            <w:proofErr w:type="gramStart"/>
            <w:r>
              <w:rPr>
                <w:rFonts w:cstheme="minorHAnsi"/>
                <w:snapToGrid w:val="0"/>
              </w:rPr>
              <w:t>all of</w:t>
            </w:r>
            <w:proofErr w:type="gramEnd"/>
            <w:r>
              <w:rPr>
                <w:rFonts w:cstheme="minorHAnsi"/>
                <w:snapToGrid w:val="0"/>
              </w:rPr>
              <w:t xml:space="preserve"> the rent concessions entered into during </w:t>
            </w:r>
            <w:r w:rsidR="00891C7F">
              <w:rPr>
                <w:rFonts w:cstheme="minorHAnsi"/>
                <w:snapToGrid w:val="0"/>
              </w:rPr>
              <w:t xml:space="preserve">the year ended 31 December </w:t>
            </w:r>
            <w:r w:rsidR="00867715">
              <w:rPr>
                <w:rFonts w:cstheme="minorHAnsi"/>
                <w:snapToGrid w:val="0"/>
              </w:rPr>
              <w:t xml:space="preserve">2020 </w:t>
            </w:r>
            <w:r>
              <w:rPr>
                <w:rFonts w:cstheme="minorHAnsi"/>
                <w:snapToGrid w:val="0"/>
              </w:rPr>
              <w:t>satisfy the criteria to apply the practical expedient.</w:t>
            </w:r>
          </w:p>
          <w:p w14:paraId="5C029F06" w14:textId="77777777" w:rsidR="00E44A6F" w:rsidRDefault="00E44A6F" w:rsidP="0089717D">
            <w:pPr>
              <w:rPr>
                <w:rFonts w:cstheme="minorHAnsi"/>
                <w:snapToGrid w:val="0"/>
              </w:rPr>
            </w:pPr>
          </w:p>
          <w:p w14:paraId="6B9B850A" w14:textId="178CC8F1" w:rsidR="00E44A6F" w:rsidRDefault="00E44A6F" w:rsidP="0089717D">
            <w:pPr>
              <w:rPr>
                <w:rFonts w:cstheme="minorHAnsi"/>
                <w:snapToGrid w:val="0"/>
              </w:rPr>
            </w:pPr>
            <w:r>
              <w:rPr>
                <w:rFonts w:cstheme="minorHAnsi"/>
                <w:snapToGrid w:val="0"/>
              </w:rPr>
              <w:t>The application of the practical expedient has resulted in the reduction of total lease liabilities of CU1,505</w:t>
            </w:r>
            <w:r w:rsidR="00867715">
              <w:rPr>
                <w:rFonts w:cstheme="minorHAnsi"/>
                <w:snapToGrid w:val="0"/>
              </w:rPr>
              <w:t>,000</w:t>
            </w:r>
            <w:r>
              <w:rPr>
                <w:rFonts w:cstheme="minorHAnsi"/>
                <w:snapToGrid w:val="0"/>
              </w:rPr>
              <w:t xml:space="preserve">. The effect of this reduction has been recorded in profit or loss in the period in which the event or condition that triggers those payments occurs. </w:t>
            </w:r>
          </w:p>
          <w:p w14:paraId="484BC4FF" w14:textId="77777777" w:rsidR="00E44A6F" w:rsidRDefault="00E44A6F" w:rsidP="0089717D">
            <w:pPr>
              <w:rPr>
                <w:rFonts w:cstheme="minorHAnsi"/>
                <w:snapToGrid w:val="0"/>
              </w:rPr>
            </w:pPr>
          </w:p>
          <w:p w14:paraId="3ADF5737" w14:textId="1CA18B0C" w:rsidR="000C1E9D" w:rsidRPr="00867715" w:rsidRDefault="00867715" w:rsidP="0089717D">
            <w:pPr>
              <w:rPr>
                <w:rFonts w:cstheme="minorHAnsi"/>
                <w:snapToGrid w:val="0"/>
              </w:rPr>
            </w:pPr>
            <w:r>
              <w:rPr>
                <w:rFonts w:cstheme="minorHAnsi"/>
                <w:snapToGrid w:val="0"/>
              </w:rPr>
              <w:t>The Company</w:t>
            </w:r>
            <w:r w:rsidR="00E44A6F">
              <w:rPr>
                <w:rFonts w:cstheme="minorHAnsi"/>
                <w:snapToGrid w:val="0"/>
              </w:rPr>
              <w:t xml:space="preserve"> has engaged in further negotiations with lessors subsequent to the 3</w:t>
            </w:r>
            <w:r>
              <w:rPr>
                <w:rFonts w:cstheme="minorHAnsi"/>
                <w:snapToGrid w:val="0"/>
              </w:rPr>
              <w:t>1</w:t>
            </w:r>
            <w:r w:rsidR="00E44A6F">
              <w:rPr>
                <w:rFonts w:cstheme="minorHAnsi"/>
                <w:snapToGrid w:val="0"/>
              </w:rPr>
              <w:t xml:space="preserve"> </w:t>
            </w:r>
            <w:r>
              <w:rPr>
                <w:rFonts w:cstheme="minorHAnsi"/>
                <w:snapToGrid w:val="0"/>
              </w:rPr>
              <w:t>December</w:t>
            </w:r>
            <w:r w:rsidR="00E44A6F">
              <w:rPr>
                <w:rFonts w:cstheme="minorHAnsi"/>
                <w:snapToGrid w:val="0"/>
              </w:rPr>
              <w:t xml:space="preserve"> 2020 period end. See </w:t>
            </w:r>
            <w:r>
              <w:rPr>
                <w:rFonts w:cstheme="minorHAnsi"/>
                <w:snapToGrid w:val="0"/>
              </w:rPr>
              <w:t>n</w:t>
            </w:r>
            <w:r w:rsidR="00E44A6F" w:rsidRPr="00327A14">
              <w:rPr>
                <w:rFonts w:cstheme="minorHAnsi"/>
                <w:snapToGrid w:val="0"/>
              </w:rPr>
              <w:t xml:space="preserve">ote </w:t>
            </w:r>
            <w:r>
              <w:rPr>
                <w:rFonts w:cstheme="minorHAnsi"/>
                <w:snapToGrid w:val="0"/>
              </w:rPr>
              <w:t>X (events after the reporting period)</w:t>
            </w:r>
            <w:r w:rsidR="00E44A6F">
              <w:rPr>
                <w:rFonts w:cstheme="minorHAnsi"/>
                <w:snapToGrid w:val="0"/>
              </w:rPr>
              <w:t>.</w:t>
            </w:r>
          </w:p>
        </w:tc>
      </w:tr>
      <w:tr w:rsidR="000C1E9D" w:rsidRPr="00AB0C4E" w14:paraId="5CA985A5" w14:textId="77777777" w:rsidTr="001F50DB">
        <w:tc>
          <w:tcPr>
            <w:tcW w:w="1469" w:type="dxa"/>
            <w:shd w:val="clear" w:color="auto" w:fill="FFFFFF" w:themeFill="background1"/>
          </w:tcPr>
          <w:p w14:paraId="189C768D" w14:textId="77777777" w:rsidR="000C1E9D" w:rsidRPr="00AB0C4E" w:rsidRDefault="000C1E9D" w:rsidP="001F50DB">
            <w:pPr>
              <w:jc w:val="right"/>
              <w:rPr>
                <w:lang w:val="en-GB"/>
              </w:rPr>
            </w:pPr>
          </w:p>
        </w:tc>
        <w:tc>
          <w:tcPr>
            <w:tcW w:w="12524" w:type="dxa"/>
            <w:shd w:val="clear" w:color="auto" w:fill="FFFFFF" w:themeFill="background1"/>
          </w:tcPr>
          <w:p w14:paraId="457CB7F2" w14:textId="19ACD492" w:rsidR="000C1E9D" w:rsidRPr="00AB0C4E" w:rsidRDefault="000C1E9D" w:rsidP="001F50DB">
            <w:pPr>
              <w:rPr>
                <w:lang w:val="en-GB"/>
              </w:rPr>
            </w:pPr>
            <w:r w:rsidRPr="00AB0C4E">
              <w:rPr>
                <w:i/>
                <w:iCs/>
                <w:lang w:val="en-GB"/>
              </w:rPr>
              <w:t xml:space="preserve">Analysis: </w:t>
            </w:r>
            <w:r w:rsidR="0089717D">
              <w:rPr>
                <w:i/>
                <w:iCs/>
                <w:lang w:val="en-GB"/>
              </w:rPr>
              <w:t xml:space="preserve">if Z Layout had not applied the practical expedient to all rent concessions satisfying the criteria in IFRS 16.46B, the entity would be required to disclose information about the nature of the contracts to which it has applied the practical expedient (e.g. certain classes of leases). </w:t>
            </w:r>
          </w:p>
        </w:tc>
      </w:tr>
    </w:tbl>
    <w:p w14:paraId="345C77FB" w14:textId="77777777" w:rsidR="005911D1" w:rsidRPr="00AB0C4E" w:rsidRDefault="005911D1" w:rsidP="006E22AC">
      <w:pPr>
        <w:rPr>
          <w:lang w:val="en-GB"/>
        </w:rPr>
      </w:pPr>
    </w:p>
    <w:p w14:paraId="71CA4270" w14:textId="77777777" w:rsidR="0062565C" w:rsidRPr="00AB0C4E" w:rsidRDefault="0062565C" w:rsidP="006E22AC">
      <w:pPr>
        <w:rPr>
          <w:lang w:val="en-GB"/>
        </w:rPr>
      </w:pPr>
    </w:p>
    <w:p w14:paraId="53F7A024" w14:textId="39CCE21B" w:rsidR="0062565C" w:rsidRPr="00AB0C4E" w:rsidRDefault="0062565C" w:rsidP="006E22AC">
      <w:pPr>
        <w:rPr>
          <w:lang w:val="en-GB"/>
        </w:rPr>
        <w:sectPr w:rsidR="0062565C" w:rsidRPr="00AB0C4E" w:rsidSect="00576F83">
          <w:headerReference w:type="default" r:id="rId34"/>
          <w:headerReference w:type="first" r:id="rId35"/>
          <w:pgSz w:w="16838" w:h="11906" w:orient="landscape" w:code="9"/>
          <w:pgMar w:top="1407" w:right="1701" w:bottom="1134" w:left="1134" w:header="426" w:footer="57" w:gutter="0"/>
          <w:pgNumType w:start="3"/>
          <w:cols w:space="708"/>
          <w:titlePg/>
          <w:docGrid w:linePitch="360"/>
        </w:sectPr>
      </w:pPr>
    </w:p>
    <w:p w14:paraId="7AF7BFDE" w14:textId="59A71BF5" w:rsidR="00242756" w:rsidRDefault="00242756" w:rsidP="006E22AC">
      <w:pPr>
        <w:rPr>
          <w:lang w:val="en-GB"/>
        </w:rPr>
      </w:pPr>
    </w:p>
    <w:p w14:paraId="7AE86F33" w14:textId="41FEF8A1" w:rsidR="00A50AB4" w:rsidRDefault="00A50AB4" w:rsidP="006E22AC">
      <w:pPr>
        <w:rPr>
          <w:lang w:val="en-GB"/>
        </w:rPr>
      </w:pPr>
    </w:p>
    <w:p w14:paraId="6D951120" w14:textId="77777777" w:rsidR="00A50AB4" w:rsidRPr="00AB0C4E" w:rsidRDefault="00A50AB4" w:rsidP="006E22AC">
      <w:pPr>
        <w:rPr>
          <w:lang w:val="en-GB"/>
        </w:rPr>
      </w:pPr>
    </w:p>
    <w:p w14:paraId="7D37EAC1" w14:textId="1144C2BF" w:rsidR="00242756" w:rsidRPr="00AB0C4E" w:rsidRDefault="00A50AB4" w:rsidP="00A50AB4">
      <w:pPr>
        <w:ind w:left="-1134"/>
        <w:rPr>
          <w:lang w:val="en-GB"/>
        </w:rPr>
      </w:pPr>
      <w:r w:rsidRPr="00A50AB4">
        <w:rPr>
          <w:noProof/>
          <w:lang w:val="en-GB"/>
        </w:rPr>
        <w:drawing>
          <wp:inline distT="0" distB="0" distL="0" distR="0" wp14:anchorId="15EFD4E2" wp14:editId="4D15F779">
            <wp:extent cx="7581331" cy="339106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627697" cy="3411807"/>
                    </a:xfrm>
                    <a:prstGeom prst="rect">
                      <a:avLst/>
                    </a:prstGeom>
                  </pic:spPr>
                </pic:pic>
              </a:graphicData>
            </a:graphic>
          </wp:inline>
        </w:drawing>
      </w:r>
    </w:p>
    <w:p w14:paraId="6D4E1808" w14:textId="5EC3B5BF" w:rsidR="0038009E" w:rsidRDefault="0038009E" w:rsidP="006E22AC">
      <w:pPr>
        <w:rPr>
          <w:lang w:val="en-GB"/>
        </w:rPr>
      </w:pPr>
    </w:p>
    <w:p w14:paraId="15204398" w14:textId="11CDE494" w:rsidR="00A50AB4" w:rsidRDefault="00A50AB4" w:rsidP="006E22AC">
      <w:pPr>
        <w:rPr>
          <w:lang w:val="en-GB"/>
        </w:rPr>
      </w:pPr>
    </w:p>
    <w:p w14:paraId="22C6CABF" w14:textId="3F5CD814" w:rsidR="00A50AB4" w:rsidRDefault="00A50AB4" w:rsidP="006E22AC">
      <w:pPr>
        <w:rPr>
          <w:lang w:val="en-GB"/>
        </w:rPr>
      </w:pPr>
    </w:p>
    <w:p w14:paraId="67DA572C" w14:textId="3E4F2001" w:rsidR="00A50AB4" w:rsidRDefault="00A50AB4" w:rsidP="006E22AC">
      <w:pPr>
        <w:rPr>
          <w:lang w:val="en-GB"/>
        </w:rPr>
      </w:pPr>
    </w:p>
    <w:p w14:paraId="6C0E0BEA" w14:textId="71EC0724" w:rsidR="0038009E" w:rsidRPr="00AB0C4E" w:rsidRDefault="0038009E" w:rsidP="006E22AC">
      <w:pPr>
        <w:rPr>
          <w:lang w:val="en-GB"/>
        </w:rPr>
      </w:pPr>
    </w:p>
    <w:p w14:paraId="7D2DE8CF" w14:textId="349133AD" w:rsidR="006E22AC" w:rsidRPr="00AB0C4E" w:rsidRDefault="006E22AC" w:rsidP="7CAC553F">
      <w:pPr>
        <w:rPr>
          <w:sz w:val="14"/>
          <w:szCs w:val="14"/>
          <w:lang w:val="en-GB"/>
        </w:rPr>
      </w:pPr>
      <w:r w:rsidRPr="00AB0C4E">
        <w:rPr>
          <w:sz w:val="14"/>
          <w:szCs w:val="14"/>
          <w:lang w:val="en-GB"/>
        </w:rPr>
        <w:t>This publication has been carefully prepared, but it has been written in general terms and should be seen as broad guidance only. The publication cannot be relied upon to cover specific situations and you should not act, or refrain from acting, upon the information contained therein without obtaining specific professional advice. Please contact your respective BDO Member Firm to discuss these matters in the context of your particular circumstances. Neither BDO IFR Advisory Limited, Brussels Worldwide Services BV, BDO International Limited and/or BDO Member Firms, nor their respective partners, employees and/or agents accept or assume any liability or duty of care for any loss arising from any action taken or not taken by anyone in reliance on the information in this publication or for any decision based on it.</w:t>
      </w:r>
    </w:p>
    <w:p w14:paraId="65493BCB" w14:textId="0FE57034" w:rsidR="006E22AC" w:rsidRPr="00AB0C4E" w:rsidRDefault="006E22AC" w:rsidP="7CAC553F">
      <w:pPr>
        <w:rPr>
          <w:sz w:val="14"/>
          <w:szCs w:val="14"/>
          <w:lang w:val="en-GB"/>
        </w:rPr>
      </w:pPr>
      <w:r w:rsidRPr="00AB0C4E">
        <w:rPr>
          <w:sz w:val="14"/>
          <w:szCs w:val="14"/>
          <w:lang w:val="en-GB"/>
        </w:rPr>
        <w:t>Service provision within the international BDO network of independent Member Firms (‘the BDO network’) in connection with IFRS (comprising International Financial Reporting Standards, International Accounting Standards, and Interpretations developed by the IFRS Interpretations Committee and the former Standing Interpretations Committee), and other documents, as issued by the International Accounting Standards Board, is provided by BDO IFR Advisory Limited, a UK registered company limited by guarantee. Service provision within the BDO network is coordinated by Brussels Worldwide Services BV, a limited liability company incorporated in Belgium with its statutory seat in Zaventem.</w:t>
      </w:r>
    </w:p>
    <w:p w14:paraId="4587B87B" w14:textId="74A5CCAA" w:rsidR="006E22AC" w:rsidRPr="00AB0C4E" w:rsidRDefault="006E22AC" w:rsidP="7CAC553F">
      <w:pPr>
        <w:rPr>
          <w:sz w:val="14"/>
          <w:szCs w:val="14"/>
          <w:lang w:val="en-GB"/>
        </w:rPr>
      </w:pPr>
      <w:r w:rsidRPr="00AB0C4E">
        <w:rPr>
          <w:sz w:val="14"/>
          <w:szCs w:val="14"/>
          <w:lang w:val="en-GB"/>
        </w:rPr>
        <w:t>Each of BDO International Limited (the governing entity of the BDO network), Brussels Worldwide Services BV, BDO IFR Advisory Limited and the Member Firms is a separate legal entity and has no liability for another such entity’s acts or omissions. Nothing in the arrangements or rules of the BDO network shall constitute or imply an agency relationship or a partnership between BDO International Limited, Brussels Worldwide Services BV, BDO IFR Advisory Limited and/or the Member Firms of the BDO network.</w:t>
      </w:r>
    </w:p>
    <w:p w14:paraId="02BD2971" w14:textId="77777777" w:rsidR="006E22AC" w:rsidRPr="00AB0C4E" w:rsidRDefault="006E22AC" w:rsidP="006E22AC">
      <w:pPr>
        <w:rPr>
          <w:sz w:val="14"/>
          <w:lang w:val="en-GB"/>
        </w:rPr>
      </w:pPr>
      <w:r w:rsidRPr="00AB0C4E">
        <w:rPr>
          <w:sz w:val="14"/>
          <w:lang w:val="en-GB"/>
        </w:rPr>
        <w:t>BDO is the brand name for the BDO network and for each of the BDO Member Firms.</w:t>
      </w:r>
    </w:p>
    <w:p w14:paraId="2DEB96F7" w14:textId="4C83EE3C" w:rsidR="006E22AC" w:rsidRPr="00AB0C4E" w:rsidRDefault="006E22AC" w:rsidP="7CAC553F">
      <w:pPr>
        <w:rPr>
          <w:sz w:val="14"/>
          <w:szCs w:val="14"/>
          <w:lang w:val="en-GB"/>
        </w:rPr>
      </w:pPr>
      <w:r w:rsidRPr="00AB0C4E">
        <w:rPr>
          <w:sz w:val="14"/>
          <w:szCs w:val="14"/>
          <w:lang w:val="en-GB"/>
        </w:rPr>
        <w:t>© 20</w:t>
      </w:r>
      <w:r w:rsidR="5B0FF17D" w:rsidRPr="00AB0C4E">
        <w:rPr>
          <w:sz w:val="14"/>
          <w:szCs w:val="14"/>
          <w:lang w:val="en-GB"/>
        </w:rPr>
        <w:t>20</w:t>
      </w:r>
      <w:r w:rsidRPr="00AB0C4E">
        <w:rPr>
          <w:sz w:val="14"/>
          <w:szCs w:val="14"/>
          <w:lang w:val="en-GB"/>
        </w:rPr>
        <w:t xml:space="preserve"> BDO IFR Advisory Limited, a UK registered company limited by guarantee. All rights reserved.</w:t>
      </w:r>
    </w:p>
    <w:p w14:paraId="59C37689" w14:textId="02D67FFE" w:rsidR="0038009E" w:rsidRPr="00AB0C4E" w:rsidRDefault="009B0144" w:rsidP="006E22AC">
      <w:pPr>
        <w:rPr>
          <w:sz w:val="14"/>
          <w:lang w:val="en-GB"/>
        </w:rPr>
      </w:pPr>
      <w:hyperlink r:id="rId37" w:history="1">
        <w:r w:rsidR="0038009E" w:rsidRPr="00AB0C4E">
          <w:rPr>
            <w:rStyle w:val="Hyperlink"/>
            <w:sz w:val="14"/>
            <w:lang w:val="en-GB"/>
          </w:rPr>
          <w:t>www.bdo.global</w:t>
        </w:r>
      </w:hyperlink>
      <w:bookmarkEnd w:id="2"/>
    </w:p>
    <w:sectPr w:rsidR="0038009E" w:rsidRPr="00AB0C4E" w:rsidSect="0062565C">
      <w:headerReference w:type="first" r:id="rId38"/>
      <w:pgSz w:w="11906" w:h="16838" w:code="9"/>
      <w:pgMar w:top="1701" w:right="1134" w:bottom="1134" w:left="1134" w:header="0" w:footer="57"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4D132" w16cex:dateUtc="2020-12-16T18:32:00Z"/>
  <w16cex:commentExtensible w16cex:durableId="2384D2C9" w16cex:dateUtc="2020-12-16T18:39:00Z"/>
  <w16cex:commentExtensible w16cex:durableId="2384D3C6" w16cex:dateUtc="2020-12-16T18:43:00Z"/>
  <w16cex:commentExtensible w16cex:durableId="2384D40A" w16cex:dateUtc="2020-12-16T18:4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A8040" w14:textId="77777777" w:rsidR="009B0144" w:rsidRDefault="009B0144">
      <w:r>
        <w:separator/>
      </w:r>
    </w:p>
  </w:endnote>
  <w:endnote w:type="continuationSeparator" w:id="0">
    <w:p w14:paraId="3A9DF24E" w14:textId="77777777" w:rsidR="009B0144" w:rsidRDefault="009B0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Condensed">
    <w:altName w:val="Arial"/>
    <w:charset w:val="00"/>
    <w:family w:val="swiss"/>
    <w:pitch w:val="variable"/>
    <w:sig w:usb0="A00002AF" w:usb1="4000205B" w:usb2="00000000" w:usb3="00000000" w:csb0="0000009F"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Trebuchet MS Vet">
    <w:altName w:val="Trebuchet MS"/>
    <w:panose1 w:val="00000000000000000000"/>
    <w:charset w:val="00"/>
    <w:family w:val="auto"/>
    <w:notTrueType/>
    <w:pitch w:val="default"/>
    <w:sig w:usb0="00000003" w:usb1="00000000" w:usb2="00000000" w:usb3="00000000" w:csb0="00000001" w:csb1="00000000"/>
  </w:font>
  <w:font w:name="Novarese Bold">
    <w:charset w:val="00"/>
    <w:family w:val="roman"/>
    <w:pitch w:val="variable"/>
    <w:sig w:usb0="00000003" w:usb1="00000000" w:usb2="00000000" w:usb3="00000000" w:csb0="00000001" w:csb1="00000000"/>
  </w:font>
  <w:font w:name="Novarese Book">
    <w:altName w:val="Kartik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BFBFB" w14:textId="16343F60" w:rsidR="00A35927" w:rsidRDefault="00A35927" w:rsidP="00B30FE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67168" w14:textId="77777777" w:rsidR="009B0144" w:rsidRDefault="009B0144">
      <w:r>
        <w:separator/>
      </w:r>
    </w:p>
  </w:footnote>
  <w:footnote w:type="continuationSeparator" w:id="0">
    <w:p w14:paraId="1AEE2FF8" w14:textId="77777777" w:rsidR="009B0144" w:rsidRDefault="009B01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38FB0" w14:textId="3FFCB8E4" w:rsidR="00A35927" w:rsidRDefault="00A35927"/>
  <w:tbl>
    <w:tblPr>
      <w:tblW w:w="14034" w:type="dxa"/>
      <w:tblBorders>
        <w:bottom w:val="single" w:sz="6" w:space="0" w:color="404040" w:themeColor="text1"/>
        <w:insideH w:val="single" w:sz="4" w:space="0" w:color="auto"/>
      </w:tblBorders>
      <w:tblCellMar>
        <w:left w:w="0" w:type="dxa"/>
        <w:bottom w:w="57" w:type="dxa"/>
        <w:right w:w="0" w:type="dxa"/>
      </w:tblCellMar>
      <w:tblLook w:val="04A0" w:firstRow="1" w:lastRow="0" w:firstColumn="1" w:lastColumn="0" w:noHBand="0" w:noVBand="1"/>
    </w:tblPr>
    <w:tblGrid>
      <w:gridCol w:w="3402"/>
      <w:gridCol w:w="10632"/>
    </w:tblGrid>
    <w:tr w:rsidR="00A35927" w:rsidRPr="001B6F36" w14:paraId="295827E4" w14:textId="77777777" w:rsidTr="00FD067F">
      <w:tc>
        <w:tcPr>
          <w:tcW w:w="3402" w:type="dxa"/>
        </w:tcPr>
        <w:p w14:paraId="3F675273" w14:textId="77A85BF4" w:rsidR="00A35927" w:rsidRPr="008D252C" w:rsidRDefault="00A35927" w:rsidP="001B6F36">
          <w:pPr>
            <w:pStyle w:val="Header"/>
            <w:rPr>
              <w:sz w:val="14"/>
              <w:szCs w:val="14"/>
            </w:rPr>
          </w:pPr>
          <w:r w:rsidRPr="008D252C">
            <w:rPr>
              <w:color w:val="ED1A3B" w:themeColor="text2"/>
              <w:sz w:val="14"/>
              <w:szCs w:val="14"/>
            </w:rPr>
            <w:fldChar w:fldCharType="begin"/>
          </w:r>
          <w:r w:rsidRPr="008D252C">
            <w:rPr>
              <w:color w:val="ED1A3B" w:themeColor="text2"/>
              <w:sz w:val="14"/>
              <w:szCs w:val="14"/>
            </w:rPr>
            <w:instrText xml:space="preserve"> PAGE   \* MERGEFORMAT </w:instrText>
          </w:r>
          <w:r w:rsidRPr="008D252C">
            <w:rPr>
              <w:color w:val="ED1A3B" w:themeColor="text2"/>
              <w:sz w:val="14"/>
              <w:szCs w:val="14"/>
            </w:rPr>
            <w:fldChar w:fldCharType="separate"/>
          </w:r>
          <w:r>
            <w:rPr>
              <w:noProof/>
              <w:color w:val="ED1A3B" w:themeColor="text2"/>
              <w:sz w:val="14"/>
              <w:szCs w:val="14"/>
            </w:rPr>
            <w:t>4</w:t>
          </w:r>
          <w:r w:rsidRPr="008D252C">
            <w:rPr>
              <w:noProof/>
              <w:color w:val="ED1A3B" w:themeColor="text2"/>
              <w:sz w:val="14"/>
              <w:szCs w:val="14"/>
            </w:rPr>
            <w:fldChar w:fldCharType="end"/>
          </w:r>
          <w:r w:rsidRPr="008D252C">
            <w:rPr>
              <w:sz w:val="14"/>
              <w:szCs w:val="14"/>
            </w:rPr>
            <w:t xml:space="preserve"> </w:t>
          </w:r>
        </w:p>
      </w:tc>
      <w:tc>
        <w:tcPr>
          <w:tcW w:w="10632" w:type="dxa"/>
        </w:tcPr>
        <w:p w14:paraId="79D2DC3E" w14:textId="67E3CFF2" w:rsidR="00A35927" w:rsidRPr="00F90DFA" w:rsidRDefault="00A35927" w:rsidP="002C7AD2">
          <w:pPr>
            <w:pStyle w:val="Header"/>
            <w:ind w:left="284"/>
            <w:jc w:val="left"/>
            <w:rPr>
              <w:i/>
              <w:color w:val="404040" w:themeColor="text1"/>
              <w:sz w:val="14"/>
              <w:szCs w:val="14"/>
            </w:rPr>
          </w:pPr>
          <w:r>
            <w:rPr>
              <w:rStyle w:val="TextRed"/>
              <w:i/>
              <w:color w:val="404040" w:themeColor="text1"/>
              <w:sz w:val="14"/>
              <w:szCs w:val="14"/>
            </w:rPr>
            <w:t xml:space="preserve">                                                 31 DECEMBER 2020 ILLUSTRATIVE IFRS DISCLOSURES: COVID-19 SUPPLEMENT</w:t>
          </w:r>
        </w:p>
      </w:tc>
    </w:tr>
  </w:tbl>
  <w:p w14:paraId="35FF28ED" w14:textId="77777777" w:rsidR="00A35927" w:rsidRDefault="00A35927" w:rsidP="001B6F3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9FDF5" w14:textId="77777777" w:rsidR="00A35927" w:rsidRDefault="00A35927"/>
  <w:tbl>
    <w:tblPr>
      <w:tblW w:w="14034" w:type="dxa"/>
      <w:tblBorders>
        <w:bottom w:val="single" w:sz="6" w:space="0" w:color="404040" w:themeColor="text1"/>
        <w:insideH w:val="single" w:sz="4" w:space="0" w:color="auto"/>
      </w:tblBorders>
      <w:tblCellMar>
        <w:left w:w="0" w:type="dxa"/>
        <w:bottom w:w="57" w:type="dxa"/>
        <w:right w:w="0" w:type="dxa"/>
      </w:tblCellMar>
      <w:tblLook w:val="04A0" w:firstRow="1" w:lastRow="0" w:firstColumn="1" w:lastColumn="0" w:noHBand="0" w:noVBand="1"/>
    </w:tblPr>
    <w:tblGrid>
      <w:gridCol w:w="3402"/>
      <w:gridCol w:w="10632"/>
    </w:tblGrid>
    <w:tr w:rsidR="00A35927" w:rsidRPr="001B6F36" w14:paraId="29CE9A81" w14:textId="77777777" w:rsidTr="00FD067F">
      <w:tc>
        <w:tcPr>
          <w:tcW w:w="3402" w:type="dxa"/>
        </w:tcPr>
        <w:p w14:paraId="07707FFE" w14:textId="77777777" w:rsidR="00A35927" w:rsidRPr="008D252C" w:rsidRDefault="00A35927" w:rsidP="001B6F36">
          <w:pPr>
            <w:pStyle w:val="Header"/>
            <w:rPr>
              <w:sz w:val="14"/>
              <w:szCs w:val="14"/>
            </w:rPr>
          </w:pPr>
          <w:r w:rsidRPr="008D252C">
            <w:rPr>
              <w:color w:val="ED1A3B" w:themeColor="text2"/>
              <w:sz w:val="14"/>
              <w:szCs w:val="14"/>
            </w:rPr>
            <w:fldChar w:fldCharType="begin"/>
          </w:r>
          <w:r w:rsidRPr="008D252C">
            <w:rPr>
              <w:color w:val="ED1A3B" w:themeColor="text2"/>
              <w:sz w:val="14"/>
              <w:szCs w:val="14"/>
            </w:rPr>
            <w:instrText xml:space="preserve"> PAGE   \* MERGEFORMAT </w:instrText>
          </w:r>
          <w:r w:rsidRPr="008D252C">
            <w:rPr>
              <w:color w:val="ED1A3B" w:themeColor="text2"/>
              <w:sz w:val="14"/>
              <w:szCs w:val="14"/>
            </w:rPr>
            <w:fldChar w:fldCharType="separate"/>
          </w:r>
          <w:r>
            <w:rPr>
              <w:noProof/>
              <w:color w:val="ED1A3B" w:themeColor="text2"/>
              <w:sz w:val="14"/>
              <w:szCs w:val="14"/>
            </w:rPr>
            <w:t>4</w:t>
          </w:r>
          <w:r w:rsidRPr="008D252C">
            <w:rPr>
              <w:noProof/>
              <w:color w:val="ED1A3B" w:themeColor="text2"/>
              <w:sz w:val="14"/>
              <w:szCs w:val="14"/>
            </w:rPr>
            <w:fldChar w:fldCharType="end"/>
          </w:r>
          <w:r w:rsidRPr="008D252C">
            <w:rPr>
              <w:sz w:val="14"/>
              <w:szCs w:val="14"/>
            </w:rPr>
            <w:t xml:space="preserve"> </w:t>
          </w:r>
        </w:p>
      </w:tc>
      <w:tc>
        <w:tcPr>
          <w:tcW w:w="10632" w:type="dxa"/>
        </w:tcPr>
        <w:p w14:paraId="01EADA8A" w14:textId="77777777" w:rsidR="00A35927" w:rsidRPr="00F90DFA" w:rsidRDefault="00A35927" w:rsidP="002D0F15">
          <w:pPr>
            <w:pStyle w:val="Header"/>
            <w:ind w:left="284"/>
            <w:jc w:val="right"/>
            <w:rPr>
              <w:i/>
              <w:color w:val="404040" w:themeColor="text1"/>
              <w:sz w:val="14"/>
              <w:szCs w:val="14"/>
            </w:rPr>
          </w:pPr>
          <w:r>
            <w:rPr>
              <w:rStyle w:val="TextRed"/>
              <w:i/>
              <w:color w:val="404040" w:themeColor="text1"/>
              <w:sz w:val="14"/>
              <w:szCs w:val="14"/>
            </w:rPr>
            <w:t>31 DECEMBER 2020 ILLUSTRATIVE IFRS DISCLOSURES: COVID-19 SUPPLEMENT</w:t>
          </w:r>
        </w:p>
      </w:tc>
    </w:tr>
  </w:tbl>
  <w:p w14:paraId="760A0D72" w14:textId="77777777" w:rsidR="00A35927" w:rsidRDefault="00A35927" w:rsidP="001B6F3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892" w:type="dxa"/>
      <w:tblBorders>
        <w:bottom w:val="single" w:sz="6" w:space="0" w:color="404040" w:themeColor="text1"/>
        <w:insideH w:val="single" w:sz="4" w:space="0" w:color="auto"/>
      </w:tblBorders>
      <w:tblCellMar>
        <w:left w:w="0" w:type="dxa"/>
        <w:bottom w:w="57" w:type="dxa"/>
        <w:right w:w="0" w:type="dxa"/>
      </w:tblCellMar>
      <w:tblLook w:val="04A0" w:firstRow="1" w:lastRow="0" w:firstColumn="1" w:lastColumn="0" w:noHBand="0" w:noVBand="1"/>
    </w:tblPr>
    <w:tblGrid>
      <w:gridCol w:w="3402"/>
      <w:gridCol w:w="10490"/>
    </w:tblGrid>
    <w:tr w:rsidR="00A35927" w:rsidRPr="00F90DFA" w14:paraId="277A92CF" w14:textId="77777777" w:rsidTr="00FD067F">
      <w:trPr>
        <w:trHeight w:val="142"/>
      </w:trPr>
      <w:tc>
        <w:tcPr>
          <w:tcW w:w="3402" w:type="dxa"/>
        </w:tcPr>
        <w:p w14:paraId="68F05250" w14:textId="0ED91065" w:rsidR="00A35927" w:rsidRPr="008D252C" w:rsidRDefault="00A35927" w:rsidP="00315269">
          <w:pPr>
            <w:pStyle w:val="Header"/>
            <w:rPr>
              <w:sz w:val="14"/>
              <w:szCs w:val="14"/>
            </w:rPr>
          </w:pPr>
          <w:r w:rsidRPr="008D252C">
            <w:rPr>
              <w:color w:val="ED1A3B" w:themeColor="text2"/>
              <w:sz w:val="14"/>
              <w:szCs w:val="14"/>
            </w:rPr>
            <w:fldChar w:fldCharType="begin"/>
          </w:r>
          <w:r w:rsidRPr="008D252C">
            <w:rPr>
              <w:color w:val="ED1A3B" w:themeColor="text2"/>
              <w:sz w:val="14"/>
              <w:szCs w:val="14"/>
            </w:rPr>
            <w:instrText xml:space="preserve"> PAGE   \* MERGEFORMAT </w:instrText>
          </w:r>
          <w:r w:rsidRPr="008D252C">
            <w:rPr>
              <w:color w:val="ED1A3B" w:themeColor="text2"/>
              <w:sz w:val="14"/>
              <w:szCs w:val="14"/>
            </w:rPr>
            <w:fldChar w:fldCharType="separate"/>
          </w:r>
          <w:r>
            <w:rPr>
              <w:noProof/>
              <w:color w:val="ED1A3B" w:themeColor="text2"/>
              <w:sz w:val="14"/>
              <w:szCs w:val="14"/>
            </w:rPr>
            <w:t>3</w:t>
          </w:r>
          <w:r w:rsidRPr="008D252C">
            <w:rPr>
              <w:noProof/>
              <w:color w:val="ED1A3B" w:themeColor="text2"/>
              <w:sz w:val="14"/>
              <w:szCs w:val="14"/>
            </w:rPr>
            <w:fldChar w:fldCharType="end"/>
          </w:r>
          <w:r w:rsidRPr="008D252C">
            <w:rPr>
              <w:sz w:val="14"/>
              <w:szCs w:val="14"/>
            </w:rPr>
            <w:t xml:space="preserve"> </w:t>
          </w:r>
        </w:p>
      </w:tc>
      <w:tc>
        <w:tcPr>
          <w:tcW w:w="10490" w:type="dxa"/>
        </w:tcPr>
        <w:p w14:paraId="6692C41E" w14:textId="77777777" w:rsidR="00A35927" w:rsidRPr="00F90DFA" w:rsidRDefault="00A35927" w:rsidP="00315269">
          <w:pPr>
            <w:pStyle w:val="Header"/>
            <w:ind w:left="284"/>
            <w:jc w:val="right"/>
            <w:rPr>
              <w:i/>
              <w:color w:val="404040" w:themeColor="text1"/>
              <w:sz w:val="14"/>
              <w:szCs w:val="14"/>
            </w:rPr>
          </w:pPr>
          <w:r>
            <w:rPr>
              <w:rStyle w:val="TextRed"/>
              <w:i/>
              <w:color w:val="404040" w:themeColor="text1"/>
              <w:sz w:val="14"/>
              <w:szCs w:val="14"/>
            </w:rPr>
            <w:t>31 DECEMBER 2020 ILLUSTRATIVE IFRS DISCLOSURES: COVID-19 SUPPLEMENT</w:t>
          </w:r>
        </w:p>
      </w:tc>
    </w:tr>
  </w:tbl>
  <w:p w14:paraId="4E088328" w14:textId="77777777" w:rsidR="00A35927" w:rsidRDefault="00A35927" w:rsidP="003152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tblBorders>
        <w:bottom w:val="single" w:sz="6" w:space="0" w:color="404040" w:themeColor="text1"/>
        <w:insideH w:val="single" w:sz="4" w:space="0" w:color="auto"/>
      </w:tblBorders>
      <w:tblCellMar>
        <w:left w:w="0" w:type="dxa"/>
        <w:bottom w:w="57" w:type="dxa"/>
        <w:right w:w="0" w:type="dxa"/>
      </w:tblCellMar>
      <w:tblLook w:val="04A0" w:firstRow="1" w:lastRow="0" w:firstColumn="1" w:lastColumn="0" w:noHBand="0" w:noVBand="1"/>
    </w:tblPr>
    <w:tblGrid>
      <w:gridCol w:w="3402"/>
      <w:gridCol w:w="6521"/>
    </w:tblGrid>
    <w:tr w:rsidR="00A35927" w:rsidRPr="00F90DFA" w14:paraId="263F3BEC" w14:textId="77777777" w:rsidTr="00184130">
      <w:tc>
        <w:tcPr>
          <w:tcW w:w="3402" w:type="dxa"/>
        </w:tcPr>
        <w:p w14:paraId="5F4AAA01" w14:textId="5F6EC152" w:rsidR="00A35927" w:rsidRPr="008D252C" w:rsidRDefault="00A35927" w:rsidP="00315269">
          <w:pPr>
            <w:pStyle w:val="Header"/>
            <w:rPr>
              <w:sz w:val="14"/>
              <w:szCs w:val="14"/>
            </w:rPr>
          </w:pPr>
        </w:p>
      </w:tc>
      <w:tc>
        <w:tcPr>
          <w:tcW w:w="6521" w:type="dxa"/>
        </w:tcPr>
        <w:p w14:paraId="29D159CC" w14:textId="77777777" w:rsidR="00A35927" w:rsidRDefault="00A35927" w:rsidP="00315269">
          <w:pPr>
            <w:pStyle w:val="Header"/>
            <w:ind w:left="284"/>
            <w:jc w:val="right"/>
            <w:rPr>
              <w:rStyle w:val="TextRed"/>
              <w:i/>
              <w:color w:val="404040" w:themeColor="text1"/>
              <w:sz w:val="14"/>
              <w:szCs w:val="14"/>
            </w:rPr>
          </w:pPr>
        </w:p>
        <w:p w14:paraId="4E68D1A3" w14:textId="528740E4" w:rsidR="00A35927" w:rsidRPr="00F90DFA" w:rsidRDefault="00A35927" w:rsidP="00315269">
          <w:pPr>
            <w:pStyle w:val="Header"/>
            <w:ind w:left="284"/>
            <w:jc w:val="right"/>
            <w:rPr>
              <w:i/>
              <w:color w:val="404040" w:themeColor="text1"/>
              <w:sz w:val="14"/>
              <w:szCs w:val="14"/>
            </w:rPr>
          </w:pPr>
          <w:r>
            <w:rPr>
              <w:rStyle w:val="TextRed"/>
              <w:i/>
              <w:color w:val="404040" w:themeColor="text1"/>
              <w:sz w:val="14"/>
              <w:szCs w:val="14"/>
            </w:rPr>
            <w:t>31 DECEMBER 2020 ILLUSTRATIVE IFRS DISCLOSURES: COVID-19 SUPPLEMENT</w:t>
          </w:r>
        </w:p>
      </w:tc>
    </w:tr>
  </w:tbl>
  <w:p w14:paraId="62EAA12D" w14:textId="77777777" w:rsidR="00A35927" w:rsidRDefault="00A35927" w:rsidP="003152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F66DB"/>
    <w:multiLevelType w:val="hybridMultilevel"/>
    <w:tmpl w:val="6CA694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4E6421"/>
    <w:multiLevelType w:val="hybridMultilevel"/>
    <w:tmpl w:val="0E9A94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BF6C7D"/>
    <w:multiLevelType w:val="multilevel"/>
    <w:tmpl w:val="AD0C3922"/>
    <w:styleLink w:val="Headings"/>
    <w:lvl w:ilvl="0">
      <w:start w:val="1"/>
      <w:numFmt w:val="decimal"/>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F54BAA"/>
    <w:multiLevelType w:val="hybridMultilevel"/>
    <w:tmpl w:val="A1B2BD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424E57"/>
    <w:multiLevelType w:val="multilevel"/>
    <w:tmpl w:val="682A9C22"/>
    <w:lvl w:ilvl="0">
      <w:start w:val="1"/>
      <w:numFmt w:val="bullet"/>
      <w:pStyle w:val="BDOBullet1Grey"/>
      <w:lvlText w:val=""/>
      <w:lvlJc w:val="left"/>
      <w:pPr>
        <w:ind w:left="397" w:hanging="397"/>
      </w:pPr>
      <w:rPr>
        <w:rFonts w:ascii="Symbol" w:hAnsi="Symbol" w:hint="default"/>
        <w:b/>
        <w:i w:val="0"/>
        <w:color w:val="786860"/>
      </w:rPr>
    </w:lvl>
    <w:lvl w:ilvl="1">
      <w:start w:val="1"/>
      <w:numFmt w:val="bullet"/>
      <w:lvlText w:val="-"/>
      <w:lvlJc w:val="left"/>
      <w:pPr>
        <w:tabs>
          <w:tab w:val="num" w:pos="1440"/>
        </w:tabs>
        <w:ind w:left="794" w:hanging="397"/>
      </w:pPr>
      <w:rPr>
        <w:rFonts w:ascii="Courier New" w:hAnsi="Courier New" w:hint="default"/>
        <w:color w:val="786860"/>
      </w:rPr>
    </w:lvl>
    <w:lvl w:ilvl="2">
      <w:start w:val="1"/>
      <w:numFmt w:val="bullet"/>
      <w:lvlText w:val=""/>
      <w:lvlJc w:val="left"/>
      <w:pPr>
        <w:tabs>
          <w:tab w:val="num" w:pos="2160"/>
        </w:tabs>
        <w:ind w:left="1191" w:hanging="397"/>
      </w:pPr>
      <w:rPr>
        <w:rFonts w:ascii="Symbol" w:hAnsi="Symbol" w:hint="default"/>
        <w:color w:val="786860"/>
      </w:rPr>
    </w:lvl>
    <w:lvl w:ilvl="3">
      <w:start w:val="1"/>
      <w:numFmt w:val="bullet"/>
      <w:lvlText w:val=""/>
      <w:lvlJc w:val="left"/>
      <w:pPr>
        <w:tabs>
          <w:tab w:val="num" w:pos="2880"/>
        </w:tabs>
        <w:ind w:left="1419" w:hanging="283"/>
      </w:pPr>
      <w:rPr>
        <w:rFonts w:ascii="Symbol" w:hAnsi="Symbol" w:hint="default"/>
      </w:rPr>
    </w:lvl>
    <w:lvl w:ilvl="4">
      <w:start w:val="1"/>
      <w:numFmt w:val="bullet"/>
      <w:lvlText w:val="o"/>
      <w:lvlJc w:val="left"/>
      <w:pPr>
        <w:tabs>
          <w:tab w:val="num" w:pos="3600"/>
        </w:tabs>
        <w:ind w:left="1703" w:hanging="283"/>
      </w:pPr>
      <w:rPr>
        <w:rFonts w:ascii="Courier New" w:hAnsi="Courier New" w:hint="default"/>
      </w:rPr>
    </w:lvl>
    <w:lvl w:ilvl="5">
      <w:start w:val="1"/>
      <w:numFmt w:val="bullet"/>
      <w:lvlText w:val=""/>
      <w:lvlJc w:val="left"/>
      <w:pPr>
        <w:tabs>
          <w:tab w:val="num" w:pos="4320"/>
        </w:tabs>
        <w:ind w:left="1987" w:hanging="283"/>
      </w:pPr>
      <w:rPr>
        <w:rFonts w:ascii="Wingdings" w:hAnsi="Wingdings" w:hint="default"/>
      </w:rPr>
    </w:lvl>
    <w:lvl w:ilvl="6">
      <w:start w:val="1"/>
      <w:numFmt w:val="bullet"/>
      <w:lvlText w:val=""/>
      <w:lvlJc w:val="left"/>
      <w:pPr>
        <w:tabs>
          <w:tab w:val="num" w:pos="5040"/>
        </w:tabs>
        <w:ind w:left="2271" w:hanging="283"/>
      </w:pPr>
      <w:rPr>
        <w:rFonts w:ascii="Symbol" w:hAnsi="Symbol" w:hint="default"/>
      </w:rPr>
    </w:lvl>
    <w:lvl w:ilvl="7">
      <w:start w:val="1"/>
      <w:numFmt w:val="bullet"/>
      <w:lvlText w:val="o"/>
      <w:lvlJc w:val="left"/>
      <w:pPr>
        <w:tabs>
          <w:tab w:val="num" w:pos="5760"/>
        </w:tabs>
        <w:ind w:left="2555" w:hanging="283"/>
      </w:pPr>
      <w:rPr>
        <w:rFonts w:ascii="Courier New" w:hAnsi="Courier New" w:hint="default"/>
      </w:rPr>
    </w:lvl>
    <w:lvl w:ilvl="8">
      <w:start w:val="1"/>
      <w:numFmt w:val="bullet"/>
      <w:lvlText w:val=""/>
      <w:lvlJc w:val="left"/>
      <w:pPr>
        <w:tabs>
          <w:tab w:val="num" w:pos="6480"/>
        </w:tabs>
        <w:ind w:left="2839" w:hanging="283"/>
      </w:pPr>
      <w:rPr>
        <w:rFonts w:ascii="Wingdings" w:hAnsi="Wingdings" w:hint="default"/>
      </w:rPr>
    </w:lvl>
  </w:abstractNum>
  <w:abstractNum w:abstractNumId="5" w15:restartNumberingAfterBreak="0">
    <w:nsid w:val="0D4949CE"/>
    <w:multiLevelType w:val="hybridMultilevel"/>
    <w:tmpl w:val="718EF7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9F26F9"/>
    <w:multiLevelType w:val="hybridMultilevel"/>
    <w:tmpl w:val="5C7A28BC"/>
    <w:lvl w:ilvl="0" w:tplc="EDE4F54E">
      <w:start w:val="2"/>
      <w:numFmt w:val="bullet"/>
      <w:lvlText w:val="-"/>
      <w:lvlJc w:val="left"/>
      <w:pPr>
        <w:ind w:left="420" w:hanging="360"/>
      </w:pPr>
      <w:rPr>
        <w:rFonts w:ascii="Trebuchet MS" w:eastAsia="Times New Roman" w:hAnsi="Trebuchet MS" w:cs="Times New Roman"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7" w15:restartNumberingAfterBreak="0">
    <w:nsid w:val="13611327"/>
    <w:multiLevelType w:val="hybridMultilevel"/>
    <w:tmpl w:val="EE5286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A33B5C"/>
    <w:multiLevelType w:val="hybridMultilevel"/>
    <w:tmpl w:val="7E5631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5E36B19"/>
    <w:multiLevelType w:val="multilevel"/>
    <w:tmpl w:val="5156A0B6"/>
    <w:lvl w:ilvl="0">
      <w:start w:val="1"/>
      <w:numFmt w:val="decimal"/>
      <w:pStyle w:val="ZWKop1"/>
      <w:lvlText w:val="%1."/>
      <w:lvlJc w:val="left"/>
      <w:pPr>
        <w:ind w:left="360" w:hanging="360"/>
      </w:pPr>
      <w:rPr>
        <w:rFonts w:hint="default"/>
      </w:rPr>
    </w:lvl>
    <w:lvl w:ilvl="1">
      <w:start w:val="1"/>
      <w:numFmt w:val="decimal"/>
      <w:lvlText w:val="%1.%2"/>
      <w:lvlJc w:val="left"/>
      <w:pPr>
        <w:ind w:left="709" w:hanging="709"/>
      </w:pPr>
      <w:rPr>
        <w:rFonts w:cs="Times New Roman" w:hint="default"/>
      </w:rPr>
    </w:lvl>
    <w:lvl w:ilvl="2">
      <w:start w:val="1"/>
      <w:numFmt w:val="decimal"/>
      <w:lvlText w:val="%1.%2.%3"/>
      <w:lvlJc w:val="left"/>
      <w:pPr>
        <w:ind w:left="709" w:hanging="709"/>
      </w:pPr>
      <w:rPr>
        <w:rFonts w:cs="Times New Roman" w:hint="default"/>
      </w:rPr>
    </w:lvl>
    <w:lvl w:ilvl="3">
      <w:start w:val="1"/>
      <w:numFmt w:val="decimal"/>
      <w:lvlText w:val="%1.%2.%3.%4."/>
      <w:lvlJc w:val="left"/>
      <w:pPr>
        <w:ind w:left="709" w:hanging="709"/>
      </w:pPr>
      <w:rPr>
        <w:rFonts w:cs="Times New Roman" w:hint="default"/>
      </w:rPr>
    </w:lvl>
    <w:lvl w:ilvl="4">
      <w:start w:val="1"/>
      <w:numFmt w:val="decimal"/>
      <w:lvlText w:val="%1.%2.%3.%4.%5."/>
      <w:lvlJc w:val="left"/>
      <w:pPr>
        <w:ind w:left="709" w:hanging="709"/>
      </w:pPr>
      <w:rPr>
        <w:rFonts w:cs="Times New Roman" w:hint="default"/>
      </w:rPr>
    </w:lvl>
    <w:lvl w:ilvl="5">
      <w:start w:val="1"/>
      <w:numFmt w:val="decimal"/>
      <w:lvlText w:val="%1.%2.%3.%4.%5.%6."/>
      <w:lvlJc w:val="left"/>
      <w:pPr>
        <w:ind w:left="709" w:hanging="709"/>
      </w:pPr>
      <w:rPr>
        <w:rFonts w:cs="Times New Roman" w:hint="default"/>
      </w:rPr>
    </w:lvl>
    <w:lvl w:ilvl="6">
      <w:start w:val="1"/>
      <w:numFmt w:val="decimal"/>
      <w:lvlText w:val="%1.%2.%3.%4.%5.%6.%7."/>
      <w:lvlJc w:val="left"/>
      <w:pPr>
        <w:ind w:left="709" w:hanging="709"/>
      </w:pPr>
      <w:rPr>
        <w:rFonts w:cs="Times New Roman" w:hint="default"/>
      </w:rPr>
    </w:lvl>
    <w:lvl w:ilvl="7">
      <w:start w:val="1"/>
      <w:numFmt w:val="decimal"/>
      <w:lvlText w:val="%1.%2.%3.%4.%5.%6.%7.%8."/>
      <w:lvlJc w:val="left"/>
      <w:pPr>
        <w:ind w:left="709" w:hanging="709"/>
      </w:pPr>
      <w:rPr>
        <w:rFonts w:cs="Times New Roman" w:hint="default"/>
      </w:rPr>
    </w:lvl>
    <w:lvl w:ilvl="8">
      <w:start w:val="1"/>
      <w:numFmt w:val="decimal"/>
      <w:lvlText w:val="%1.%2.%3.%4.%5.%6.%7.%8.%9."/>
      <w:lvlJc w:val="left"/>
      <w:pPr>
        <w:ind w:left="709" w:hanging="709"/>
      </w:pPr>
      <w:rPr>
        <w:rFonts w:cs="Times New Roman" w:hint="default"/>
      </w:rPr>
    </w:lvl>
  </w:abstractNum>
  <w:abstractNum w:abstractNumId="10" w15:restartNumberingAfterBreak="0">
    <w:nsid w:val="16597D12"/>
    <w:multiLevelType w:val="hybridMultilevel"/>
    <w:tmpl w:val="C3CAB15C"/>
    <w:lvl w:ilvl="0" w:tplc="E1806BAA">
      <w:start w:val="1"/>
      <w:numFmt w:val="decimal"/>
      <w:lvlText w:val="%1."/>
      <w:lvlJc w:val="left"/>
      <w:pPr>
        <w:ind w:left="900" w:hanging="360"/>
      </w:pPr>
      <w:rPr>
        <w:rFonts w:hint="default"/>
      </w:rPr>
    </w:lvl>
    <w:lvl w:ilvl="1" w:tplc="10090019" w:tentative="1">
      <w:start w:val="1"/>
      <w:numFmt w:val="lowerLetter"/>
      <w:lvlText w:val="%2."/>
      <w:lvlJc w:val="left"/>
      <w:pPr>
        <w:ind w:left="1620" w:hanging="360"/>
      </w:pPr>
    </w:lvl>
    <w:lvl w:ilvl="2" w:tplc="1009001B" w:tentative="1">
      <w:start w:val="1"/>
      <w:numFmt w:val="lowerRoman"/>
      <w:lvlText w:val="%3."/>
      <w:lvlJc w:val="right"/>
      <w:pPr>
        <w:ind w:left="2340" w:hanging="180"/>
      </w:pPr>
    </w:lvl>
    <w:lvl w:ilvl="3" w:tplc="1009000F" w:tentative="1">
      <w:start w:val="1"/>
      <w:numFmt w:val="decimal"/>
      <w:lvlText w:val="%4."/>
      <w:lvlJc w:val="left"/>
      <w:pPr>
        <w:ind w:left="3060" w:hanging="360"/>
      </w:pPr>
    </w:lvl>
    <w:lvl w:ilvl="4" w:tplc="10090019" w:tentative="1">
      <w:start w:val="1"/>
      <w:numFmt w:val="lowerLetter"/>
      <w:lvlText w:val="%5."/>
      <w:lvlJc w:val="left"/>
      <w:pPr>
        <w:ind w:left="3780" w:hanging="360"/>
      </w:pPr>
    </w:lvl>
    <w:lvl w:ilvl="5" w:tplc="1009001B" w:tentative="1">
      <w:start w:val="1"/>
      <w:numFmt w:val="lowerRoman"/>
      <w:lvlText w:val="%6."/>
      <w:lvlJc w:val="right"/>
      <w:pPr>
        <w:ind w:left="4500" w:hanging="180"/>
      </w:pPr>
    </w:lvl>
    <w:lvl w:ilvl="6" w:tplc="1009000F" w:tentative="1">
      <w:start w:val="1"/>
      <w:numFmt w:val="decimal"/>
      <w:lvlText w:val="%7."/>
      <w:lvlJc w:val="left"/>
      <w:pPr>
        <w:ind w:left="5220" w:hanging="360"/>
      </w:pPr>
    </w:lvl>
    <w:lvl w:ilvl="7" w:tplc="10090019" w:tentative="1">
      <w:start w:val="1"/>
      <w:numFmt w:val="lowerLetter"/>
      <w:lvlText w:val="%8."/>
      <w:lvlJc w:val="left"/>
      <w:pPr>
        <w:ind w:left="5940" w:hanging="360"/>
      </w:pPr>
    </w:lvl>
    <w:lvl w:ilvl="8" w:tplc="1009001B" w:tentative="1">
      <w:start w:val="1"/>
      <w:numFmt w:val="lowerRoman"/>
      <w:lvlText w:val="%9."/>
      <w:lvlJc w:val="right"/>
      <w:pPr>
        <w:ind w:left="6660" w:hanging="180"/>
      </w:pPr>
    </w:lvl>
  </w:abstractNum>
  <w:abstractNum w:abstractNumId="11" w15:restartNumberingAfterBreak="0">
    <w:nsid w:val="18330D2F"/>
    <w:multiLevelType w:val="hybridMultilevel"/>
    <w:tmpl w:val="0DC498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8645A6E"/>
    <w:multiLevelType w:val="hybridMultilevel"/>
    <w:tmpl w:val="3992F37A"/>
    <w:lvl w:ilvl="0" w:tplc="4B428FFA">
      <w:start w:val="3"/>
      <w:numFmt w:val="bullet"/>
      <w:pStyle w:val="bullet"/>
      <w:lvlText w:val="•"/>
      <w:lvlJc w:val="left"/>
      <w:pPr>
        <w:ind w:left="1080" w:hanging="720"/>
      </w:pPr>
      <w:rPr>
        <w:rFonts w:ascii="Trebuchet MS" w:eastAsia="Times New Roman" w:hAnsi="Trebuchet MS"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89D773B"/>
    <w:multiLevelType w:val="hybridMultilevel"/>
    <w:tmpl w:val="345027D0"/>
    <w:lvl w:ilvl="0" w:tplc="97922402">
      <w:start w:val="1"/>
      <w:numFmt w:val="bullet"/>
      <w:lvlText w:val=""/>
      <w:lvlJc w:val="left"/>
      <w:pPr>
        <w:tabs>
          <w:tab w:val="num" w:pos="1778"/>
        </w:tabs>
        <w:ind w:left="1778" w:hanging="360"/>
      </w:pPr>
      <w:rPr>
        <w:rFonts w:ascii="Symbol" w:hAnsi="Symbol" w:hint="default"/>
      </w:rPr>
    </w:lvl>
    <w:lvl w:ilvl="1" w:tplc="08090019">
      <w:start w:val="1"/>
      <w:numFmt w:val="lowerLetter"/>
      <w:lvlText w:val="%2."/>
      <w:lvlJc w:val="left"/>
      <w:pPr>
        <w:tabs>
          <w:tab w:val="num" w:pos="2498"/>
        </w:tabs>
        <w:ind w:left="2498" w:hanging="360"/>
      </w:pPr>
    </w:lvl>
    <w:lvl w:ilvl="2" w:tplc="0809001B" w:tentative="1">
      <w:start w:val="1"/>
      <w:numFmt w:val="lowerRoman"/>
      <w:lvlText w:val="%3."/>
      <w:lvlJc w:val="right"/>
      <w:pPr>
        <w:tabs>
          <w:tab w:val="num" w:pos="3218"/>
        </w:tabs>
        <w:ind w:left="3218" w:hanging="180"/>
      </w:pPr>
    </w:lvl>
    <w:lvl w:ilvl="3" w:tplc="0809000F" w:tentative="1">
      <w:start w:val="1"/>
      <w:numFmt w:val="decimal"/>
      <w:lvlText w:val="%4."/>
      <w:lvlJc w:val="left"/>
      <w:pPr>
        <w:tabs>
          <w:tab w:val="num" w:pos="3938"/>
        </w:tabs>
        <w:ind w:left="3938" w:hanging="360"/>
      </w:pPr>
    </w:lvl>
    <w:lvl w:ilvl="4" w:tplc="08090019" w:tentative="1">
      <w:start w:val="1"/>
      <w:numFmt w:val="lowerLetter"/>
      <w:lvlText w:val="%5."/>
      <w:lvlJc w:val="left"/>
      <w:pPr>
        <w:tabs>
          <w:tab w:val="num" w:pos="4658"/>
        </w:tabs>
        <w:ind w:left="4658" w:hanging="360"/>
      </w:pPr>
    </w:lvl>
    <w:lvl w:ilvl="5" w:tplc="0809001B" w:tentative="1">
      <w:start w:val="1"/>
      <w:numFmt w:val="lowerRoman"/>
      <w:lvlText w:val="%6."/>
      <w:lvlJc w:val="right"/>
      <w:pPr>
        <w:tabs>
          <w:tab w:val="num" w:pos="5378"/>
        </w:tabs>
        <w:ind w:left="5378" w:hanging="180"/>
      </w:pPr>
    </w:lvl>
    <w:lvl w:ilvl="6" w:tplc="0809000F" w:tentative="1">
      <w:start w:val="1"/>
      <w:numFmt w:val="decimal"/>
      <w:lvlText w:val="%7."/>
      <w:lvlJc w:val="left"/>
      <w:pPr>
        <w:tabs>
          <w:tab w:val="num" w:pos="6098"/>
        </w:tabs>
        <w:ind w:left="6098" w:hanging="360"/>
      </w:pPr>
    </w:lvl>
    <w:lvl w:ilvl="7" w:tplc="08090019" w:tentative="1">
      <w:start w:val="1"/>
      <w:numFmt w:val="lowerLetter"/>
      <w:lvlText w:val="%8."/>
      <w:lvlJc w:val="left"/>
      <w:pPr>
        <w:tabs>
          <w:tab w:val="num" w:pos="6818"/>
        </w:tabs>
        <w:ind w:left="6818" w:hanging="360"/>
      </w:pPr>
    </w:lvl>
    <w:lvl w:ilvl="8" w:tplc="0809001B" w:tentative="1">
      <w:start w:val="1"/>
      <w:numFmt w:val="lowerRoman"/>
      <w:lvlText w:val="%9."/>
      <w:lvlJc w:val="right"/>
      <w:pPr>
        <w:tabs>
          <w:tab w:val="num" w:pos="7538"/>
        </w:tabs>
        <w:ind w:left="7538" w:hanging="180"/>
      </w:pPr>
    </w:lvl>
  </w:abstractNum>
  <w:abstractNum w:abstractNumId="14" w15:restartNumberingAfterBreak="0">
    <w:nsid w:val="18E545E7"/>
    <w:multiLevelType w:val="hybridMultilevel"/>
    <w:tmpl w:val="F2147CD6"/>
    <w:lvl w:ilvl="0" w:tplc="475E37C8">
      <w:start w:val="1"/>
      <w:numFmt w:val="bullet"/>
      <w:lvlText w:val="-"/>
      <w:lvlJc w:val="left"/>
      <w:pPr>
        <w:ind w:left="720" w:hanging="360"/>
      </w:pPr>
      <w:rPr>
        <w:rFonts w:ascii="Trebuchet MS" w:eastAsia="Times New Roman" w:hAnsi="Trebuchet M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BBD4B31"/>
    <w:multiLevelType w:val="hybridMultilevel"/>
    <w:tmpl w:val="21F2B30C"/>
    <w:lvl w:ilvl="0" w:tplc="C920720E">
      <w:start w:val="1"/>
      <w:numFmt w:val="lowerRoman"/>
      <w:lvlText w:val="(%1)"/>
      <w:lvlJc w:val="left"/>
      <w:pPr>
        <w:ind w:left="3420" w:hanging="720"/>
      </w:pPr>
      <w:rPr>
        <w:rFonts w:hint="default"/>
      </w:rPr>
    </w:lvl>
    <w:lvl w:ilvl="1" w:tplc="10090019" w:tentative="1">
      <w:start w:val="1"/>
      <w:numFmt w:val="lowerLetter"/>
      <w:lvlText w:val="%2."/>
      <w:lvlJc w:val="left"/>
      <w:pPr>
        <w:ind w:left="3780" w:hanging="360"/>
      </w:pPr>
    </w:lvl>
    <w:lvl w:ilvl="2" w:tplc="1009001B" w:tentative="1">
      <w:start w:val="1"/>
      <w:numFmt w:val="lowerRoman"/>
      <w:lvlText w:val="%3."/>
      <w:lvlJc w:val="right"/>
      <w:pPr>
        <w:ind w:left="4500" w:hanging="180"/>
      </w:pPr>
    </w:lvl>
    <w:lvl w:ilvl="3" w:tplc="1009000F" w:tentative="1">
      <w:start w:val="1"/>
      <w:numFmt w:val="decimal"/>
      <w:lvlText w:val="%4."/>
      <w:lvlJc w:val="left"/>
      <w:pPr>
        <w:ind w:left="5220" w:hanging="360"/>
      </w:pPr>
    </w:lvl>
    <w:lvl w:ilvl="4" w:tplc="10090019" w:tentative="1">
      <w:start w:val="1"/>
      <w:numFmt w:val="lowerLetter"/>
      <w:lvlText w:val="%5."/>
      <w:lvlJc w:val="left"/>
      <w:pPr>
        <w:ind w:left="5940" w:hanging="360"/>
      </w:pPr>
    </w:lvl>
    <w:lvl w:ilvl="5" w:tplc="1009001B" w:tentative="1">
      <w:start w:val="1"/>
      <w:numFmt w:val="lowerRoman"/>
      <w:lvlText w:val="%6."/>
      <w:lvlJc w:val="right"/>
      <w:pPr>
        <w:ind w:left="6660" w:hanging="180"/>
      </w:pPr>
    </w:lvl>
    <w:lvl w:ilvl="6" w:tplc="1009000F" w:tentative="1">
      <w:start w:val="1"/>
      <w:numFmt w:val="decimal"/>
      <w:lvlText w:val="%7."/>
      <w:lvlJc w:val="left"/>
      <w:pPr>
        <w:ind w:left="7380" w:hanging="360"/>
      </w:pPr>
    </w:lvl>
    <w:lvl w:ilvl="7" w:tplc="10090019" w:tentative="1">
      <w:start w:val="1"/>
      <w:numFmt w:val="lowerLetter"/>
      <w:lvlText w:val="%8."/>
      <w:lvlJc w:val="left"/>
      <w:pPr>
        <w:ind w:left="8100" w:hanging="360"/>
      </w:pPr>
    </w:lvl>
    <w:lvl w:ilvl="8" w:tplc="1009001B" w:tentative="1">
      <w:start w:val="1"/>
      <w:numFmt w:val="lowerRoman"/>
      <w:lvlText w:val="%9."/>
      <w:lvlJc w:val="right"/>
      <w:pPr>
        <w:ind w:left="8820" w:hanging="180"/>
      </w:pPr>
    </w:lvl>
  </w:abstractNum>
  <w:abstractNum w:abstractNumId="16" w15:restartNumberingAfterBreak="0">
    <w:nsid w:val="1E9D3666"/>
    <w:multiLevelType w:val="hybridMultilevel"/>
    <w:tmpl w:val="748484A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F634588"/>
    <w:multiLevelType w:val="hybridMultilevel"/>
    <w:tmpl w:val="226047F8"/>
    <w:lvl w:ilvl="0" w:tplc="69E61D64">
      <w:start w:val="1"/>
      <w:numFmt w:val="bullet"/>
      <w:lvlText w:val=""/>
      <w:lvlJc w:val="left"/>
      <w:pPr>
        <w:ind w:left="720" w:hanging="360"/>
      </w:pPr>
      <w:rPr>
        <w:rFonts w:ascii="Wingdings" w:hAnsi="Wingdings" w:hint="default"/>
        <w:color w:val="218F8B" w:themeColor="background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3367728"/>
    <w:multiLevelType w:val="hybridMultilevel"/>
    <w:tmpl w:val="544E9952"/>
    <w:lvl w:ilvl="0" w:tplc="475E37C8">
      <w:start w:val="1"/>
      <w:numFmt w:val="bullet"/>
      <w:lvlText w:val="-"/>
      <w:lvlJc w:val="left"/>
      <w:pPr>
        <w:ind w:left="720" w:hanging="360"/>
      </w:pPr>
      <w:rPr>
        <w:rFonts w:ascii="Trebuchet MS" w:eastAsia="Times New Roman" w:hAnsi="Trebuchet M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42262F1"/>
    <w:multiLevelType w:val="hybridMultilevel"/>
    <w:tmpl w:val="19B6B5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43F3520"/>
    <w:multiLevelType w:val="hybridMultilevel"/>
    <w:tmpl w:val="A3B499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4F75075"/>
    <w:multiLevelType w:val="hybridMultilevel"/>
    <w:tmpl w:val="9EA23786"/>
    <w:lvl w:ilvl="0" w:tplc="EDE4F54E">
      <w:start w:val="2"/>
      <w:numFmt w:val="bullet"/>
      <w:lvlText w:val="-"/>
      <w:lvlJc w:val="left"/>
      <w:pPr>
        <w:ind w:left="987" w:hanging="360"/>
      </w:pPr>
      <w:rPr>
        <w:rFonts w:ascii="Trebuchet MS" w:eastAsia="Times New Roman" w:hAnsi="Trebuchet MS" w:cs="Times New Roman"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22" w15:restartNumberingAfterBreak="0">
    <w:nsid w:val="2B133AB3"/>
    <w:multiLevelType w:val="hybridMultilevel"/>
    <w:tmpl w:val="253CB0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17D5650"/>
    <w:multiLevelType w:val="hybridMultilevel"/>
    <w:tmpl w:val="1B52A3CA"/>
    <w:lvl w:ilvl="0" w:tplc="10090001">
      <w:start w:val="1"/>
      <w:numFmt w:val="bullet"/>
      <w:lvlText w:val=""/>
      <w:lvlJc w:val="left"/>
      <w:pPr>
        <w:tabs>
          <w:tab w:val="num" w:pos="1778"/>
        </w:tabs>
        <w:ind w:left="1778" w:hanging="360"/>
      </w:pPr>
      <w:rPr>
        <w:rFonts w:ascii="Symbol" w:hAnsi="Symbol" w:hint="default"/>
      </w:rPr>
    </w:lvl>
    <w:lvl w:ilvl="1" w:tplc="08090019">
      <w:start w:val="1"/>
      <w:numFmt w:val="lowerLetter"/>
      <w:lvlText w:val="%2."/>
      <w:lvlJc w:val="left"/>
      <w:pPr>
        <w:tabs>
          <w:tab w:val="num" w:pos="2498"/>
        </w:tabs>
        <w:ind w:left="2498" w:hanging="360"/>
      </w:pPr>
    </w:lvl>
    <w:lvl w:ilvl="2" w:tplc="0809001B" w:tentative="1">
      <w:start w:val="1"/>
      <w:numFmt w:val="lowerRoman"/>
      <w:lvlText w:val="%3."/>
      <w:lvlJc w:val="right"/>
      <w:pPr>
        <w:tabs>
          <w:tab w:val="num" w:pos="3218"/>
        </w:tabs>
        <w:ind w:left="3218" w:hanging="180"/>
      </w:pPr>
    </w:lvl>
    <w:lvl w:ilvl="3" w:tplc="0809000F" w:tentative="1">
      <w:start w:val="1"/>
      <w:numFmt w:val="decimal"/>
      <w:lvlText w:val="%4."/>
      <w:lvlJc w:val="left"/>
      <w:pPr>
        <w:tabs>
          <w:tab w:val="num" w:pos="3938"/>
        </w:tabs>
        <w:ind w:left="3938" w:hanging="360"/>
      </w:pPr>
    </w:lvl>
    <w:lvl w:ilvl="4" w:tplc="08090019" w:tentative="1">
      <w:start w:val="1"/>
      <w:numFmt w:val="lowerLetter"/>
      <w:lvlText w:val="%5."/>
      <w:lvlJc w:val="left"/>
      <w:pPr>
        <w:tabs>
          <w:tab w:val="num" w:pos="4658"/>
        </w:tabs>
        <w:ind w:left="4658" w:hanging="360"/>
      </w:pPr>
    </w:lvl>
    <w:lvl w:ilvl="5" w:tplc="0809001B" w:tentative="1">
      <w:start w:val="1"/>
      <w:numFmt w:val="lowerRoman"/>
      <w:lvlText w:val="%6."/>
      <w:lvlJc w:val="right"/>
      <w:pPr>
        <w:tabs>
          <w:tab w:val="num" w:pos="5378"/>
        </w:tabs>
        <w:ind w:left="5378" w:hanging="180"/>
      </w:pPr>
    </w:lvl>
    <w:lvl w:ilvl="6" w:tplc="0809000F" w:tentative="1">
      <w:start w:val="1"/>
      <w:numFmt w:val="decimal"/>
      <w:lvlText w:val="%7."/>
      <w:lvlJc w:val="left"/>
      <w:pPr>
        <w:tabs>
          <w:tab w:val="num" w:pos="6098"/>
        </w:tabs>
        <w:ind w:left="6098" w:hanging="360"/>
      </w:pPr>
    </w:lvl>
    <w:lvl w:ilvl="7" w:tplc="08090019" w:tentative="1">
      <w:start w:val="1"/>
      <w:numFmt w:val="lowerLetter"/>
      <w:lvlText w:val="%8."/>
      <w:lvlJc w:val="left"/>
      <w:pPr>
        <w:tabs>
          <w:tab w:val="num" w:pos="6818"/>
        </w:tabs>
        <w:ind w:left="6818" w:hanging="360"/>
      </w:pPr>
    </w:lvl>
    <w:lvl w:ilvl="8" w:tplc="0809001B" w:tentative="1">
      <w:start w:val="1"/>
      <w:numFmt w:val="lowerRoman"/>
      <w:lvlText w:val="%9."/>
      <w:lvlJc w:val="right"/>
      <w:pPr>
        <w:tabs>
          <w:tab w:val="num" w:pos="7538"/>
        </w:tabs>
        <w:ind w:left="7538" w:hanging="180"/>
      </w:pPr>
    </w:lvl>
  </w:abstractNum>
  <w:abstractNum w:abstractNumId="24" w15:restartNumberingAfterBreak="0">
    <w:nsid w:val="3BFE34ED"/>
    <w:multiLevelType w:val="hybridMultilevel"/>
    <w:tmpl w:val="40AA2178"/>
    <w:lvl w:ilvl="0" w:tplc="B7501092">
      <w:start w:val="1"/>
      <w:numFmt w:val="bullet"/>
      <w:lvlText w:val="­"/>
      <w:lvlJc w:val="left"/>
      <w:pPr>
        <w:ind w:left="1260" w:hanging="360"/>
      </w:pPr>
      <w:rPr>
        <w:rFonts w:ascii="Courier New" w:hAnsi="Courier New"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25" w15:restartNumberingAfterBreak="0">
    <w:nsid w:val="413956F5"/>
    <w:multiLevelType w:val="hybridMultilevel"/>
    <w:tmpl w:val="E50CB4A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4D311AE"/>
    <w:multiLevelType w:val="multilevel"/>
    <w:tmpl w:val="147073C8"/>
    <w:lvl w:ilvl="0">
      <w:start w:val="1"/>
      <w:numFmt w:val="decimal"/>
      <w:pStyle w:val="1kopBDO"/>
      <w:lvlText w:val="%1."/>
      <w:lvlJc w:val="left"/>
      <w:pPr>
        <w:ind w:left="360" w:hanging="360"/>
      </w:pPr>
      <w:rPr>
        <w:rFonts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15:restartNumberingAfterBreak="0">
    <w:nsid w:val="45854FA9"/>
    <w:multiLevelType w:val="hybridMultilevel"/>
    <w:tmpl w:val="52EC96A6"/>
    <w:lvl w:ilvl="0" w:tplc="3066044A">
      <w:start w:val="1"/>
      <w:numFmt w:val="decimal"/>
      <w:pStyle w:val="Bodynumbered"/>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459408A2"/>
    <w:multiLevelType w:val="multilevel"/>
    <w:tmpl w:val="E7AA0974"/>
    <w:lvl w:ilvl="0">
      <w:start w:val="1"/>
      <w:numFmt w:val="decimal"/>
      <w:pStyle w:val="SectionHeading"/>
      <w:lvlText w:val="%1."/>
      <w:lvlJc w:val="left"/>
      <w:pPr>
        <w:ind w:left="0" w:firstLine="0"/>
      </w:pPr>
      <w:rPr>
        <w:rFonts w:hint="default"/>
      </w:rPr>
    </w:lvl>
    <w:lvl w:ilvl="1">
      <w:start w:val="1"/>
      <w:numFmt w:val="none"/>
      <w:lvlText w:val=""/>
      <w:lvlJc w:val="left"/>
      <w:pPr>
        <w:ind w:left="10037" w:hanging="39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1"/>
      <w:lvlText w:val="%1.%3."/>
      <w:lvlJc w:val="left"/>
      <w:pPr>
        <w:ind w:left="1080" w:hanging="360"/>
      </w:pPr>
      <w:rPr>
        <w:rFonts w:hint="default"/>
      </w:rPr>
    </w:lvl>
    <w:lvl w:ilvl="3">
      <w:start w:val="1"/>
      <w:numFmt w:val="decimal"/>
      <w:pStyle w:val="Heading2"/>
      <w:lvlText w:val="%1.%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30" w15:restartNumberingAfterBreak="0">
    <w:nsid w:val="4B0E294C"/>
    <w:multiLevelType w:val="hybridMultilevel"/>
    <w:tmpl w:val="12E2B074"/>
    <w:lvl w:ilvl="0" w:tplc="B7501092">
      <w:start w:val="1"/>
      <w:numFmt w:val="bullet"/>
      <w:lvlText w:val="­"/>
      <w:lvlJc w:val="left"/>
      <w:pPr>
        <w:ind w:left="1260" w:hanging="360"/>
      </w:pPr>
      <w:rPr>
        <w:rFonts w:ascii="Courier New" w:hAnsi="Courier New" w:hint="default"/>
      </w:rPr>
    </w:lvl>
    <w:lvl w:ilvl="1" w:tplc="10090003">
      <w:start w:val="1"/>
      <w:numFmt w:val="bullet"/>
      <w:lvlText w:val="o"/>
      <w:lvlJc w:val="left"/>
      <w:pPr>
        <w:ind w:left="1980" w:hanging="360"/>
      </w:pPr>
      <w:rPr>
        <w:rFonts w:ascii="Courier New" w:hAnsi="Courier New" w:cs="Courier New" w:hint="default"/>
      </w:rPr>
    </w:lvl>
    <w:lvl w:ilvl="2" w:tplc="10090005">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31" w15:restartNumberingAfterBreak="0">
    <w:nsid w:val="53A82A83"/>
    <w:multiLevelType w:val="hybridMultilevel"/>
    <w:tmpl w:val="48E019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4074B0E"/>
    <w:multiLevelType w:val="hybridMultilevel"/>
    <w:tmpl w:val="D88E41D4"/>
    <w:lvl w:ilvl="0" w:tplc="578867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55387B64"/>
    <w:multiLevelType w:val="hybridMultilevel"/>
    <w:tmpl w:val="E68637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B03219C"/>
    <w:multiLevelType w:val="hybridMultilevel"/>
    <w:tmpl w:val="3AF64D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F711935"/>
    <w:multiLevelType w:val="hybridMultilevel"/>
    <w:tmpl w:val="7DF0D0D6"/>
    <w:lvl w:ilvl="0" w:tplc="10090001">
      <w:start w:val="1"/>
      <w:numFmt w:val="bullet"/>
      <w:lvlText w:val=""/>
      <w:lvlJc w:val="left"/>
      <w:pPr>
        <w:ind w:left="9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36" w15:restartNumberingAfterBreak="0">
    <w:nsid w:val="763B0B52"/>
    <w:multiLevelType w:val="hybridMultilevel"/>
    <w:tmpl w:val="A1B2BD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DDF17D9"/>
    <w:multiLevelType w:val="hybridMultilevel"/>
    <w:tmpl w:val="1C32071A"/>
    <w:lvl w:ilvl="0" w:tplc="37BC8266">
      <w:start w:val="1"/>
      <w:numFmt w:val="lowerLetter"/>
      <w:lvlText w:val="(%1)"/>
      <w:lvlJc w:val="left"/>
      <w:pPr>
        <w:tabs>
          <w:tab w:val="num" w:pos="1778"/>
        </w:tabs>
        <w:ind w:left="1778" w:hanging="360"/>
      </w:pPr>
      <w:rPr>
        <w:rFonts w:hint="default"/>
      </w:rPr>
    </w:lvl>
    <w:lvl w:ilvl="1" w:tplc="97922402">
      <w:start w:val="1"/>
      <w:numFmt w:val="bullet"/>
      <w:lvlText w:val=""/>
      <w:lvlJc w:val="left"/>
      <w:pPr>
        <w:tabs>
          <w:tab w:val="num" w:pos="2498"/>
        </w:tabs>
        <w:ind w:left="2498" w:hanging="360"/>
      </w:pPr>
      <w:rPr>
        <w:rFonts w:ascii="Symbol" w:hAnsi="Symbol" w:hint="default"/>
      </w:rPr>
    </w:lvl>
    <w:lvl w:ilvl="2" w:tplc="0809001B" w:tentative="1">
      <w:start w:val="1"/>
      <w:numFmt w:val="lowerRoman"/>
      <w:lvlText w:val="%3."/>
      <w:lvlJc w:val="right"/>
      <w:pPr>
        <w:tabs>
          <w:tab w:val="num" w:pos="3218"/>
        </w:tabs>
        <w:ind w:left="3218" w:hanging="180"/>
      </w:pPr>
    </w:lvl>
    <w:lvl w:ilvl="3" w:tplc="0809000F" w:tentative="1">
      <w:start w:val="1"/>
      <w:numFmt w:val="decimal"/>
      <w:lvlText w:val="%4."/>
      <w:lvlJc w:val="left"/>
      <w:pPr>
        <w:tabs>
          <w:tab w:val="num" w:pos="3938"/>
        </w:tabs>
        <w:ind w:left="3938" w:hanging="360"/>
      </w:pPr>
    </w:lvl>
    <w:lvl w:ilvl="4" w:tplc="08090019" w:tentative="1">
      <w:start w:val="1"/>
      <w:numFmt w:val="lowerLetter"/>
      <w:lvlText w:val="%5."/>
      <w:lvlJc w:val="left"/>
      <w:pPr>
        <w:tabs>
          <w:tab w:val="num" w:pos="4658"/>
        </w:tabs>
        <w:ind w:left="4658" w:hanging="360"/>
      </w:pPr>
    </w:lvl>
    <w:lvl w:ilvl="5" w:tplc="0809001B" w:tentative="1">
      <w:start w:val="1"/>
      <w:numFmt w:val="lowerRoman"/>
      <w:lvlText w:val="%6."/>
      <w:lvlJc w:val="right"/>
      <w:pPr>
        <w:tabs>
          <w:tab w:val="num" w:pos="5378"/>
        </w:tabs>
        <w:ind w:left="5378" w:hanging="180"/>
      </w:pPr>
    </w:lvl>
    <w:lvl w:ilvl="6" w:tplc="0809000F" w:tentative="1">
      <w:start w:val="1"/>
      <w:numFmt w:val="decimal"/>
      <w:lvlText w:val="%7."/>
      <w:lvlJc w:val="left"/>
      <w:pPr>
        <w:tabs>
          <w:tab w:val="num" w:pos="6098"/>
        </w:tabs>
        <w:ind w:left="6098" w:hanging="360"/>
      </w:pPr>
    </w:lvl>
    <w:lvl w:ilvl="7" w:tplc="08090019" w:tentative="1">
      <w:start w:val="1"/>
      <w:numFmt w:val="lowerLetter"/>
      <w:lvlText w:val="%8."/>
      <w:lvlJc w:val="left"/>
      <w:pPr>
        <w:tabs>
          <w:tab w:val="num" w:pos="6818"/>
        </w:tabs>
        <w:ind w:left="6818" w:hanging="360"/>
      </w:pPr>
    </w:lvl>
    <w:lvl w:ilvl="8" w:tplc="0809001B" w:tentative="1">
      <w:start w:val="1"/>
      <w:numFmt w:val="lowerRoman"/>
      <w:lvlText w:val="%9."/>
      <w:lvlJc w:val="right"/>
      <w:pPr>
        <w:tabs>
          <w:tab w:val="num" w:pos="7538"/>
        </w:tabs>
        <w:ind w:left="7538" w:hanging="180"/>
      </w:pPr>
    </w:lvl>
  </w:abstractNum>
  <w:abstractNum w:abstractNumId="38" w15:restartNumberingAfterBreak="0">
    <w:nsid w:val="7EA26CF3"/>
    <w:multiLevelType w:val="hybridMultilevel"/>
    <w:tmpl w:val="DF9E42D2"/>
    <w:lvl w:ilvl="0" w:tplc="B7501092">
      <w:start w:val="1"/>
      <w:numFmt w:val="bullet"/>
      <w:lvlText w:val="­"/>
      <w:lvlJc w:val="left"/>
      <w:pPr>
        <w:ind w:left="1260" w:hanging="360"/>
      </w:pPr>
      <w:rPr>
        <w:rFonts w:ascii="Courier New" w:hAnsi="Courier New"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num w:numId="1">
    <w:abstractNumId w:val="26"/>
  </w:num>
  <w:num w:numId="2">
    <w:abstractNumId w:val="9"/>
  </w:num>
  <w:num w:numId="3">
    <w:abstractNumId w:val="4"/>
  </w:num>
  <w:num w:numId="4">
    <w:abstractNumId w:val="29"/>
  </w:num>
  <w:num w:numId="5">
    <w:abstractNumId w:val="2"/>
  </w:num>
  <w:num w:numId="6">
    <w:abstractNumId w:val="27"/>
  </w:num>
  <w:num w:numId="7">
    <w:abstractNumId w:val="12"/>
  </w:num>
  <w:num w:numId="8">
    <w:abstractNumId w:val="27"/>
    <w:lvlOverride w:ilvl="0">
      <w:startOverride w:val="1"/>
    </w:lvlOverride>
  </w:num>
  <w:num w:numId="9">
    <w:abstractNumId w:val="27"/>
    <w:lvlOverride w:ilvl="0">
      <w:startOverride w:val="1"/>
    </w:lvlOverride>
  </w:num>
  <w:num w:numId="10">
    <w:abstractNumId w:val="28"/>
  </w:num>
  <w:num w:numId="11">
    <w:abstractNumId w:val="0"/>
  </w:num>
  <w:num w:numId="12">
    <w:abstractNumId w:val="8"/>
  </w:num>
  <w:num w:numId="13">
    <w:abstractNumId w:val="19"/>
  </w:num>
  <w:num w:numId="14">
    <w:abstractNumId w:val="20"/>
  </w:num>
  <w:num w:numId="15">
    <w:abstractNumId w:val="34"/>
  </w:num>
  <w:num w:numId="16">
    <w:abstractNumId w:val="1"/>
  </w:num>
  <w:num w:numId="17">
    <w:abstractNumId w:val="16"/>
  </w:num>
  <w:num w:numId="18">
    <w:abstractNumId w:val="32"/>
  </w:num>
  <w:num w:numId="19">
    <w:abstractNumId w:val="31"/>
  </w:num>
  <w:num w:numId="20">
    <w:abstractNumId w:val="25"/>
  </w:num>
  <w:num w:numId="21">
    <w:abstractNumId w:val="18"/>
  </w:num>
  <w:num w:numId="22">
    <w:abstractNumId w:val="14"/>
  </w:num>
  <w:num w:numId="23">
    <w:abstractNumId w:val="17"/>
  </w:num>
  <w:num w:numId="24">
    <w:abstractNumId w:val="7"/>
  </w:num>
  <w:num w:numId="25">
    <w:abstractNumId w:val="33"/>
  </w:num>
  <w:num w:numId="26">
    <w:abstractNumId w:val="11"/>
  </w:num>
  <w:num w:numId="27">
    <w:abstractNumId w:val="36"/>
  </w:num>
  <w:num w:numId="28">
    <w:abstractNumId w:val="13"/>
  </w:num>
  <w:num w:numId="29">
    <w:abstractNumId w:val="37"/>
  </w:num>
  <w:num w:numId="30">
    <w:abstractNumId w:val="6"/>
  </w:num>
  <w:num w:numId="31">
    <w:abstractNumId w:val="21"/>
  </w:num>
  <w:num w:numId="32">
    <w:abstractNumId w:val="35"/>
  </w:num>
  <w:num w:numId="33">
    <w:abstractNumId w:val="23"/>
  </w:num>
  <w:num w:numId="34">
    <w:abstractNumId w:val="22"/>
  </w:num>
  <w:num w:numId="35">
    <w:abstractNumId w:val="38"/>
  </w:num>
  <w:num w:numId="36">
    <w:abstractNumId w:val="10"/>
  </w:num>
  <w:num w:numId="37">
    <w:abstractNumId w:val="30"/>
  </w:num>
  <w:num w:numId="38">
    <w:abstractNumId w:val="15"/>
  </w:num>
  <w:num w:numId="39">
    <w:abstractNumId w:val="5"/>
  </w:num>
  <w:num w:numId="40">
    <w:abstractNumId w:val="24"/>
  </w:num>
  <w:num w:numId="4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6AB"/>
    <w:rsid w:val="00000FE7"/>
    <w:rsid w:val="00001065"/>
    <w:rsid w:val="000024E8"/>
    <w:rsid w:val="00002D11"/>
    <w:rsid w:val="000038AB"/>
    <w:rsid w:val="00004428"/>
    <w:rsid w:val="00006175"/>
    <w:rsid w:val="000064F4"/>
    <w:rsid w:val="0000686D"/>
    <w:rsid w:val="000076AE"/>
    <w:rsid w:val="0000782F"/>
    <w:rsid w:val="00010282"/>
    <w:rsid w:val="00011000"/>
    <w:rsid w:val="0001161E"/>
    <w:rsid w:val="00012669"/>
    <w:rsid w:val="00013903"/>
    <w:rsid w:val="00014026"/>
    <w:rsid w:val="00014651"/>
    <w:rsid w:val="000151A3"/>
    <w:rsid w:val="00015253"/>
    <w:rsid w:val="00015360"/>
    <w:rsid w:val="00015639"/>
    <w:rsid w:val="00016AAA"/>
    <w:rsid w:val="00017838"/>
    <w:rsid w:val="00020150"/>
    <w:rsid w:val="00020F21"/>
    <w:rsid w:val="000218E4"/>
    <w:rsid w:val="00022440"/>
    <w:rsid w:val="000235F5"/>
    <w:rsid w:val="0002453B"/>
    <w:rsid w:val="00024791"/>
    <w:rsid w:val="0002553C"/>
    <w:rsid w:val="00025EFC"/>
    <w:rsid w:val="00025F8F"/>
    <w:rsid w:val="000276A1"/>
    <w:rsid w:val="000316CC"/>
    <w:rsid w:val="00032A28"/>
    <w:rsid w:val="00032CFC"/>
    <w:rsid w:val="00033636"/>
    <w:rsid w:val="00033DAE"/>
    <w:rsid w:val="00034B52"/>
    <w:rsid w:val="000358B9"/>
    <w:rsid w:val="00035BCE"/>
    <w:rsid w:val="00035C9F"/>
    <w:rsid w:val="00035FC0"/>
    <w:rsid w:val="000360CF"/>
    <w:rsid w:val="000368B7"/>
    <w:rsid w:val="00037B2B"/>
    <w:rsid w:val="0004001F"/>
    <w:rsid w:val="00040970"/>
    <w:rsid w:val="000414F1"/>
    <w:rsid w:val="000433E7"/>
    <w:rsid w:val="00043B06"/>
    <w:rsid w:val="00044136"/>
    <w:rsid w:val="0004617E"/>
    <w:rsid w:val="00046E2E"/>
    <w:rsid w:val="000472FF"/>
    <w:rsid w:val="00047D3C"/>
    <w:rsid w:val="000502F6"/>
    <w:rsid w:val="00050B81"/>
    <w:rsid w:val="00050DDE"/>
    <w:rsid w:val="00052572"/>
    <w:rsid w:val="000525A3"/>
    <w:rsid w:val="000526E5"/>
    <w:rsid w:val="00052F14"/>
    <w:rsid w:val="000531C3"/>
    <w:rsid w:val="00054498"/>
    <w:rsid w:val="00054F07"/>
    <w:rsid w:val="00056198"/>
    <w:rsid w:val="00056923"/>
    <w:rsid w:val="000578AE"/>
    <w:rsid w:val="00063C36"/>
    <w:rsid w:val="00064228"/>
    <w:rsid w:val="00064DFD"/>
    <w:rsid w:val="00064ECC"/>
    <w:rsid w:val="00065F01"/>
    <w:rsid w:val="0006610B"/>
    <w:rsid w:val="0006647D"/>
    <w:rsid w:val="0006677F"/>
    <w:rsid w:val="00066E81"/>
    <w:rsid w:val="00067A49"/>
    <w:rsid w:val="00071E89"/>
    <w:rsid w:val="000726AF"/>
    <w:rsid w:val="00072B49"/>
    <w:rsid w:val="000731AB"/>
    <w:rsid w:val="0007481F"/>
    <w:rsid w:val="00075093"/>
    <w:rsid w:val="00075448"/>
    <w:rsid w:val="0007549D"/>
    <w:rsid w:val="00075ADD"/>
    <w:rsid w:val="000765D2"/>
    <w:rsid w:val="00077A81"/>
    <w:rsid w:val="00077E0E"/>
    <w:rsid w:val="00077F02"/>
    <w:rsid w:val="00080BA2"/>
    <w:rsid w:val="000811F4"/>
    <w:rsid w:val="00082134"/>
    <w:rsid w:val="00082DE1"/>
    <w:rsid w:val="00083676"/>
    <w:rsid w:val="00085046"/>
    <w:rsid w:val="00085335"/>
    <w:rsid w:val="00085811"/>
    <w:rsid w:val="0008629A"/>
    <w:rsid w:val="00086390"/>
    <w:rsid w:val="0008660D"/>
    <w:rsid w:val="000870DC"/>
    <w:rsid w:val="00091EF5"/>
    <w:rsid w:val="00092ECF"/>
    <w:rsid w:val="00094141"/>
    <w:rsid w:val="00094219"/>
    <w:rsid w:val="00094F29"/>
    <w:rsid w:val="00096B84"/>
    <w:rsid w:val="00097C40"/>
    <w:rsid w:val="00097ECB"/>
    <w:rsid w:val="000A3828"/>
    <w:rsid w:val="000A6A72"/>
    <w:rsid w:val="000A7CAC"/>
    <w:rsid w:val="000B01B0"/>
    <w:rsid w:val="000B13EA"/>
    <w:rsid w:val="000B2465"/>
    <w:rsid w:val="000B2B6B"/>
    <w:rsid w:val="000B316F"/>
    <w:rsid w:val="000B39C8"/>
    <w:rsid w:val="000B44A4"/>
    <w:rsid w:val="000B45D3"/>
    <w:rsid w:val="000B47A1"/>
    <w:rsid w:val="000B6265"/>
    <w:rsid w:val="000B656C"/>
    <w:rsid w:val="000B79D8"/>
    <w:rsid w:val="000C1458"/>
    <w:rsid w:val="000C1A6C"/>
    <w:rsid w:val="000C1E9D"/>
    <w:rsid w:val="000C46A4"/>
    <w:rsid w:val="000C547C"/>
    <w:rsid w:val="000C633E"/>
    <w:rsid w:val="000C6946"/>
    <w:rsid w:val="000C6AFD"/>
    <w:rsid w:val="000C71FB"/>
    <w:rsid w:val="000C7720"/>
    <w:rsid w:val="000C7DC8"/>
    <w:rsid w:val="000D21DF"/>
    <w:rsid w:val="000D2A7D"/>
    <w:rsid w:val="000D3516"/>
    <w:rsid w:val="000D4785"/>
    <w:rsid w:val="000D533E"/>
    <w:rsid w:val="000D5A71"/>
    <w:rsid w:val="000D5F0D"/>
    <w:rsid w:val="000D6DA9"/>
    <w:rsid w:val="000E082B"/>
    <w:rsid w:val="000E1A7F"/>
    <w:rsid w:val="000E382C"/>
    <w:rsid w:val="000E3855"/>
    <w:rsid w:val="000E59A3"/>
    <w:rsid w:val="000E5A5C"/>
    <w:rsid w:val="000E5CEC"/>
    <w:rsid w:val="000E672C"/>
    <w:rsid w:val="000E6B85"/>
    <w:rsid w:val="000E6F27"/>
    <w:rsid w:val="000F0784"/>
    <w:rsid w:val="000F0A10"/>
    <w:rsid w:val="000F0BA9"/>
    <w:rsid w:val="000F0DD0"/>
    <w:rsid w:val="000F179E"/>
    <w:rsid w:val="000F32B4"/>
    <w:rsid w:val="000F40F5"/>
    <w:rsid w:val="000F4967"/>
    <w:rsid w:val="000F539A"/>
    <w:rsid w:val="000F5961"/>
    <w:rsid w:val="000F670B"/>
    <w:rsid w:val="000F7C62"/>
    <w:rsid w:val="00100086"/>
    <w:rsid w:val="00100F37"/>
    <w:rsid w:val="00101478"/>
    <w:rsid w:val="0010160A"/>
    <w:rsid w:val="00101844"/>
    <w:rsid w:val="0010189D"/>
    <w:rsid w:val="00102231"/>
    <w:rsid w:val="00102FFA"/>
    <w:rsid w:val="00103D31"/>
    <w:rsid w:val="00104391"/>
    <w:rsid w:val="00105A72"/>
    <w:rsid w:val="00105C52"/>
    <w:rsid w:val="00105F40"/>
    <w:rsid w:val="0010684E"/>
    <w:rsid w:val="00107436"/>
    <w:rsid w:val="001075C4"/>
    <w:rsid w:val="00107B46"/>
    <w:rsid w:val="00107FC2"/>
    <w:rsid w:val="0011063B"/>
    <w:rsid w:val="0011172B"/>
    <w:rsid w:val="00111E4E"/>
    <w:rsid w:val="0011231E"/>
    <w:rsid w:val="0011367B"/>
    <w:rsid w:val="00114151"/>
    <w:rsid w:val="00114355"/>
    <w:rsid w:val="00115563"/>
    <w:rsid w:val="00115A00"/>
    <w:rsid w:val="00116EBD"/>
    <w:rsid w:val="001170FD"/>
    <w:rsid w:val="001172BA"/>
    <w:rsid w:val="00117524"/>
    <w:rsid w:val="00117C39"/>
    <w:rsid w:val="00120181"/>
    <w:rsid w:val="00120B17"/>
    <w:rsid w:val="00121E8D"/>
    <w:rsid w:val="00122400"/>
    <w:rsid w:val="001232D0"/>
    <w:rsid w:val="001272DE"/>
    <w:rsid w:val="001279B1"/>
    <w:rsid w:val="00127B55"/>
    <w:rsid w:val="00130C69"/>
    <w:rsid w:val="00130F0C"/>
    <w:rsid w:val="00131FC7"/>
    <w:rsid w:val="0013258B"/>
    <w:rsid w:val="00132CAD"/>
    <w:rsid w:val="00132CE2"/>
    <w:rsid w:val="00134081"/>
    <w:rsid w:val="00134608"/>
    <w:rsid w:val="00134888"/>
    <w:rsid w:val="00134D4C"/>
    <w:rsid w:val="001351A7"/>
    <w:rsid w:val="00135717"/>
    <w:rsid w:val="001360BD"/>
    <w:rsid w:val="00136219"/>
    <w:rsid w:val="00136E79"/>
    <w:rsid w:val="001376AB"/>
    <w:rsid w:val="00137FCA"/>
    <w:rsid w:val="00141245"/>
    <w:rsid w:val="00142FED"/>
    <w:rsid w:val="0014327D"/>
    <w:rsid w:val="00143305"/>
    <w:rsid w:val="0014330A"/>
    <w:rsid w:val="00143921"/>
    <w:rsid w:val="00143DF2"/>
    <w:rsid w:val="001446C5"/>
    <w:rsid w:val="00145780"/>
    <w:rsid w:val="00145937"/>
    <w:rsid w:val="00145D5A"/>
    <w:rsid w:val="00145DA1"/>
    <w:rsid w:val="00146FEE"/>
    <w:rsid w:val="00147FC0"/>
    <w:rsid w:val="00151735"/>
    <w:rsid w:val="00151840"/>
    <w:rsid w:val="00151BFA"/>
    <w:rsid w:val="00151E59"/>
    <w:rsid w:val="00152AC3"/>
    <w:rsid w:val="00152D82"/>
    <w:rsid w:val="00153CE7"/>
    <w:rsid w:val="0015420E"/>
    <w:rsid w:val="0015432F"/>
    <w:rsid w:val="00154CA4"/>
    <w:rsid w:val="00154E54"/>
    <w:rsid w:val="00155C0A"/>
    <w:rsid w:val="001568C5"/>
    <w:rsid w:val="001578CF"/>
    <w:rsid w:val="001579DA"/>
    <w:rsid w:val="00160064"/>
    <w:rsid w:val="001602E6"/>
    <w:rsid w:val="00161D45"/>
    <w:rsid w:val="00161E3F"/>
    <w:rsid w:val="001626EF"/>
    <w:rsid w:val="00162F03"/>
    <w:rsid w:val="0016340D"/>
    <w:rsid w:val="00164D4A"/>
    <w:rsid w:val="00164DC7"/>
    <w:rsid w:val="00165145"/>
    <w:rsid w:val="00165936"/>
    <w:rsid w:val="001659AB"/>
    <w:rsid w:val="00165BCE"/>
    <w:rsid w:val="00165EE9"/>
    <w:rsid w:val="00170E4C"/>
    <w:rsid w:val="00171168"/>
    <w:rsid w:val="00172173"/>
    <w:rsid w:val="00173FC4"/>
    <w:rsid w:val="0017406F"/>
    <w:rsid w:val="0017439F"/>
    <w:rsid w:val="001755D9"/>
    <w:rsid w:val="00176610"/>
    <w:rsid w:val="00176A37"/>
    <w:rsid w:val="00177577"/>
    <w:rsid w:val="00177EA7"/>
    <w:rsid w:val="001818EF"/>
    <w:rsid w:val="00181EA5"/>
    <w:rsid w:val="001823FC"/>
    <w:rsid w:val="001825F5"/>
    <w:rsid w:val="0018281D"/>
    <w:rsid w:val="0018355D"/>
    <w:rsid w:val="00184130"/>
    <w:rsid w:val="00184958"/>
    <w:rsid w:val="001862BD"/>
    <w:rsid w:val="0018708F"/>
    <w:rsid w:val="00187908"/>
    <w:rsid w:val="00190085"/>
    <w:rsid w:val="00190376"/>
    <w:rsid w:val="00190785"/>
    <w:rsid w:val="00191AC6"/>
    <w:rsid w:val="00192A2F"/>
    <w:rsid w:val="00192F09"/>
    <w:rsid w:val="001942FF"/>
    <w:rsid w:val="0019433B"/>
    <w:rsid w:val="001956A3"/>
    <w:rsid w:val="00195C8E"/>
    <w:rsid w:val="00196020"/>
    <w:rsid w:val="00196219"/>
    <w:rsid w:val="00196414"/>
    <w:rsid w:val="001A0693"/>
    <w:rsid w:val="001A11CB"/>
    <w:rsid w:val="001A1273"/>
    <w:rsid w:val="001A2D09"/>
    <w:rsid w:val="001A382B"/>
    <w:rsid w:val="001A4874"/>
    <w:rsid w:val="001A4D77"/>
    <w:rsid w:val="001A5742"/>
    <w:rsid w:val="001A5851"/>
    <w:rsid w:val="001A682E"/>
    <w:rsid w:val="001A685F"/>
    <w:rsid w:val="001A6C2F"/>
    <w:rsid w:val="001A6D1B"/>
    <w:rsid w:val="001A774E"/>
    <w:rsid w:val="001B013E"/>
    <w:rsid w:val="001B018B"/>
    <w:rsid w:val="001B05DE"/>
    <w:rsid w:val="001B077D"/>
    <w:rsid w:val="001B1103"/>
    <w:rsid w:val="001B2727"/>
    <w:rsid w:val="001B2B15"/>
    <w:rsid w:val="001B33F9"/>
    <w:rsid w:val="001B3478"/>
    <w:rsid w:val="001B3696"/>
    <w:rsid w:val="001B3A59"/>
    <w:rsid w:val="001B3BBD"/>
    <w:rsid w:val="001B51B9"/>
    <w:rsid w:val="001B53AE"/>
    <w:rsid w:val="001B6F36"/>
    <w:rsid w:val="001C16C7"/>
    <w:rsid w:val="001C1BFF"/>
    <w:rsid w:val="001C2790"/>
    <w:rsid w:val="001C301F"/>
    <w:rsid w:val="001C6024"/>
    <w:rsid w:val="001C6718"/>
    <w:rsid w:val="001C6970"/>
    <w:rsid w:val="001C6D15"/>
    <w:rsid w:val="001D0479"/>
    <w:rsid w:val="001D12E3"/>
    <w:rsid w:val="001D16B0"/>
    <w:rsid w:val="001D1AB6"/>
    <w:rsid w:val="001D2F81"/>
    <w:rsid w:val="001D3E5B"/>
    <w:rsid w:val="001D40A7"/>
    <w:rsid w:val="001D5FE4"/>
    <w:rsid w:val="001D664C"/>
    <w:rsid w:val="001E0224"/>
    <w:rsid w:val="001E022C"/>
    <w:rsid w:val="001E1CD5"/>
    <w:rsid w:val="001E3AFC"/>
    <w:rsid w:val="001E505B"/>
    <w:rsid w:val="001E614D"/>
    <w:rsid w:val="001E6BF1"/>
    <w:rsid w:val="001F07A9"/>
    <w:rsid w:val="001F1268"/>
    <w:rsid w:val="001F1573"/>
    <w:rsid w:val="001F1C7E"/>
    <w:rsid w:val="001F267F"/>
    <w:rsid w:val="001F2DAA"/>
    <w:rsid w:val="001F3590"/>
    <w:rsid w:val="001F3801"/>
    <w:rsid w:val="001F3E09"/>
    <w:rsid w:val="001F4956"/>
    <w:rsid w:val="001F4EE9"/>
    <w:rsid w:val="001F50A8"/>
    <w:rsid w:val="001F50DB"/>
    <w:rsid w:val="001F6841"/>
    <w:rsid w:val="001F7872"/>
    <w:rsid w:val="0020281D"/>
    <w:rsid w:val="00202BE6"/>
    <w:rsid w:val="002033FA"/>
    <w:rsid w:val="00204581"/>
    <w:rsid w:val="00205154"/>
    <w:rsid w:val="00207C18"/>
    <w:rsid w:val="00210032"/>
    <w:rsid w:val="00210880"/>
    <w:rsid w:val="00211916"/>
    <w:rsid w:val="00211D1A"/>
    <w:rsid w:val="00213251"/>
    <w:rsid w:val="00213AE8"/>
    <w:rsid w:val="00214076"/>
    <w:rsid w:val="0021428D"/>
    <w:rsid w:val="00214555"/>
    <w:rsid w:val="00214AB6"/>
    <w:rsid w:val="00216407"/>
    <w:rsid w:val="00216909"/>
    <w:rsid w:val="00217ACA"/>
    <w:rsid w:val="0022066C"/>
    <w:rsid w:val="00220837"/>
    <w:rsid w:val="00220D65"/>
    <w:rsid w:val="002211C6"/>
    <w:rsid w:val="00221E62"/>
    <w:rsid w:val="002224D7"/>
    <w:rsid w:val="002225A0"/>
    <w:rsid w:val="002232EE"/>
    <w:rsid w:val="0022349F"/>
    <w:rsid w:val="0022398D"/>
    <w:rsid w:val="00224038"/>
    <w:rsid w:val="00226633"/>
    <w:rsid w:val="00227056"/>
    <w:rsid w:val="002276F0"/>
    <w:rsid w:val="002305E9"/>
    <w:rsid w:val="002317DA"/>
    <w:rsid w:val="00232218"/>
    <w:rsid w:val="00232ABE"/>
    <w:rsid w:val="002334CD"/>
    <w:rsid w:val="00234421"/>
    <w:rsid w:val="002344EF"/>
    <w:rsid w:val="00234FA3"/>
    <w:rsid w:val="002355BD"/>
    <w:rsid w:val="00235C56"/>
    <w:rsid w:val="00235E3E"/>
    <w:rsid w:val="0023600A"/>
    <w:rsid w:val="002360EC"/>
    <w:rsid w:val="00237280"/>
    <w:rsid w:val="00237AD1"/>
    <w:rsid w:val="002400AC"/>
    <w:rsid w:val="002405DF"/>
    <w:rsid w:val="00240684"/>
    <w:rsid w:val="00242756"/>
    <w:rsid w:val="00242FD1"/>
    <w:rsid w:val="00245420"/>
    <w:rsid w:val="0024553A"/>
    <w:rsid w:val="00245F84"/>
    <w:rsid w:val="00246AF2"/>
    <w:rsid w:val="00246CB1"/>
    <w:rsid w:val="002471D8"/>
    <w:rsid w:val="002471FE"/>
    <w:rsid w:val="00247A77"/>
    <w:rsid w:val="00247C80"/>
    <w:rsid w:val="0025015C"/>
    <w:rsid w:val="00250754"/>
    <w:rsid w:val="0025197E"/>
    <w:rsid w:val="002536AF"/>
    <w:rsid w:val="002538FE"/>
    <w:rsid w:val="00253BB9"/>
    <w:rsid w:val="002541DD"/>
    <w:rsid w:val="0025435E"/>
    <w:rsid w:val="00254441"/>
    <w:rsid w:val="00254B7F"/>
    <w:rsid w:val="00254CF1"/>
    <w:rsid w:val="0025633C"/>
    <w:rsid w:val="002605BC"/>
    <w:rsid w:val="00261FBC"/>
    <w:rsid w:val="002623DA"/>
    <w:rsid w:val="00262C96"/>
    <w:rsid w:val="00263269"/>
    <w:rsid w:val="00263C1F"/>
    <w:rsid w:val="002640F5"/>
    <w:rsid w:val="002654A7"/>
    <w:rsid w:val="0026651A"/>
    <w:rsid w:val="00267394"/>
    <w:rsid w:val="00267BF0"/>
    <w:rsid w:val="00267EA7"/>
    <w:rsid w:val="00270102"/>
    <w:rsid w:val="002728E6"/>
    <w:rsid w:val="00273E59"/>
    <w:rsid w:val="00273EE3"/>
    <w:rsid w:val="00274BCE"/>
    <w:rsid w:val="002765BF"/>
    <w:rsid w:val="00277F00"/>
    <w:rsid w:val="00280485"/>
    <w:rsid w:val="00281A57"/>
    <w:rsid w:val="00281A6A"/>
    <w:rsid w:val="00281B22"/>
    <w:rsid w:val="002822DD"/>
    <w:rsid w:val="00282FFE"/>
    <w:rsid w:val="00284218"/>
    <w:rsid w:val="0028494D"/>
    <w:rsid w:val="00286533"/>
    <w:rsid w:val="00286620"/>
    <w:rsid w:val="00286F6E"/>
    <w:rsid w:val="00287574"/>
    <w:rsid w:val="00287FE7"/>
    <w:rsid w:val="0029080F"/>
    <w:rsid w:val="00290BF6"/>
    <w:rsid w:val="0029112E"/>
    <w:rsid w:val="00292FC2"/>
    <w:rsid w:val="0029602C"/>
    <w:rsid w:val="002969E5"/>
    <w:rsid w:val="00296F2D"/>
    <w:rsid w:val="00297A9C"/>
    <w:rsid w:val="00297F85"/>
    <w:rsid w:val="002A1D2B"/>
    <w:rsid w:val="002A1F77"/>
    <w:rsid w:val="002A3179"/>
    <w:rsid w:val="002A32D5"/>
    <w:rsid w:val="002A3FD0"/>
    <w:rsid w:val="002A461B"/>
    <w:rsid w:val="002A4682"/>
    <w:rsid w:val="002A480D"/>
    <w:rsid w:val="002A4D4E"/>
    <w:rsid w:val="002A5D2B"/>
    <w:rsid w:val="002A6A6A"/>
    <w:rsid w:val="002A6C4F"/>
    <w:rsid w:val="002A6CFD"/>
    <w:rsid w:val="002B0319"/>
    <w:rsid w:val="002B0647"/>
    <w:rsid w:val="002B06F6"/>
    <w:rsid w:val="002B0FD5"/>
    <w:rsid w:val="002B16E9"/>
    <w:rsid w:val="002B2AD4"/>
    <w:rsid w:val="002B38AD"/>
    <w:rsid w:val="002B4463"/>
    <w:rsid w:val="002B5133"/>
    <w:rsid w:val="002B5A28"/>
    <w:rsid w:val="002B6D40"/>
    <w:rsid w:val="002B70A3"/>
    <w:rsid w:val="002B7195"/>
    <w:rsid w:val="002B7695"/>
    <w:rsid w:val="002C026F"/>
    <w:rsid w:val="002C0665"/>
    <w:rsid w:val="002C1F43"/>
    <w:rsid w:val="002C5AFC"/>
    <w:rsid w:val="002C61F5"/>
    <w:rsid w:val="002C7AD2"/>
    <w:rsid w:val="002C7E28"/>
    <w:rsid w:val="002D06CC"/>
    <w:rsid w:val="002D0F15"/>
    <w:rsid w:val="002D0F61"/>
    <w:rsid w:val="002D16A2"/>
    <w:rsid w:val="002D1884"/>
    <w:rsid w:val="002D1E3C"/>
    <w:rsid w:val="002D29B3"/>
    <w:rsid w:val="002D2A06"/>
    <w:rsid w:val="002D3943"/>
    <w:rsid w:val="002D4C12"/>
    <w:rsid w:val="002D53F4"/>
    <w:rsid w:val="002D5546"/>
    <w:rsid w:val="002D5EA8"/>
    <w:rsid w:val="002D6459"/>
    <w:rsid w:val="002D6D7F"/>
    <w:rsid w:val="002D6F50"/>
    <w:rsid w:val="002D73AF"/>
    <w:rsid w:val="002D7D87"/>
    <w:rsid w:val="002D7E18"/>
    <w:rsid w:val="002E037F"/>
    <w:rsid w:val="002E06EC"/>
    <w:rsid w:val="002E090B"/>
    <w:rsid w:val="002E15D3"/>
    <w:rsid w:val="002E2221"/>
    <w:rsid w:val="002E26F1"/>
    <w:rsid w:val="002E2770"/>
    <w:rsid w:val="002E3EB6"/>
    <w:rsid w:val="002E575E"/>
    <w:rsid w:val="002E6580"/>
    <w:rsid w:val="002E6A7A"/>
    <w:rsid w:val="002E6C10"/>
    <w:rsid w:val="002E7A2B"/>
    <w:rsid w:val="002E7BD7"/>
    <w:rsid w:val="002E7CDE"/>
    <w:rsid w:val="002F0D38"/>
    <w:rsid w:val="002F0E65"/>
    <w:rsid w:val="002F1CE0"/>
    <w:rsid w:val="002F20C8"/>
    <w:rsid w:val="002F2566"/>
    <w:rsid w:val="002F2EEF"/>
    <w:rsid w:val="002F375F"/>
    <w:rsid w:val="002F3FEC"/>
    <w:rsid w:val="002F5175"/>
    <w:rsid w:val="002F5D63"/>
    <w:rsid w:val="002F7233"/>
    <w:rsid w:val="00300DB7"/>
    <w:rsid w:val="00301E13"/>
    <w:rsid w:val="00303222"/>
    <w:rsid w:val="00303BEE"/>
    <w:rsid w:val="00303CBB"/>
    <w:rsid w:val="00304001"/>
    <w:rsid w:val="00305CD8"/>
    <w:rsid w:val="00305E6D"/>
    <w:rsid w:val="003063F0"/>
    <w:rsid w:val="00306618"/>
    <w:rsid w:val="00306C68"/>
    <w:rsid w:val="00307F54"/>
    <w:rsid w:val="00310D5E"/>
    <w:rsid w:val="00311F35"/>
    <w:rsid w:val="003123AC"/>
    <w:rsid w:val="003128C7"/>
    <w:rsid w:val="00312A78"/>
    <w:rsid w:val="00312B30"/>
    <w:rsid w:val="00313961"/>
    <w:rsid w:val="00313F9B"/>
    <w:rsid w:val="003145FF"/>
    <w:rsid w:val="00315269"/>
    <w:rsid w:val="00315A9A"/>
    <w:rsid w:val="00317670"/>
    <w:rsid w:val="00320EDA"/>
    <w:rsid w:val="00321182"/>
    <w:rsid w:val="003219D0"/>
    <w:rsid w:val="00322850"/>
    <w:rsid w:val="003229C5"/>
    <w:rsid w:val="00322B31"/>
    <w:rsid w:val="00322B50"/>
    <w:rsid w:val="0032474E"/>
    <w:rsid w:val="003248D1"/>
    <w:rsid w:val="00326AED"/>
    <w:rsid w:val="0033087D"/>
    <w:rsid w:val="003309CA"/>
    <w:rsid w:val="0033144D"/>
    <w:rsid w:val="0033178D"/>
    <w:rsid w:val="00332003"/>
    <w:rsid w:val="0033212B"/>
    <w:rsid w:val="003325AF"/>
    <w:rsid w:val="00332D2B"/>
    <w:rsid w:val="0033385D"/>
    <w:rsid w:val="00334F58"/>
    <w:rsid w:val="00335AB5"/>
    <w:rsid w:val="00335CED"/>
    <w:rsid w:val="003364A4"/>
    <w:rsid w:val="0033728A"/>
    <w:rsid w:val="00340CFC"/>
    <w:rsid w:val="00343354"/>
    <w:rsid w:val="003434CE"/>
    <w:rsid w:val="003437F6"/>
    <w:rsid w:val="00343888"/>
    <w:rsid w:val="00345E33"/>
    <w:rsid w:val="0034665C"/>
    <w:rsid w:val="00347090"/>
    <w:rsid w:val="00347624"/>
    <w:rsid w:val="00347D21"/>
    <w:rsid w:val="003505FA"/>
    <w:rsid w:val="00350751"/>
    <w:rsid w:val="00350EF2"/>
    <w:rsid w:val="00351005"/>
    <w:rsid w:val="0035115E"/>
    <w:rsid w:val="003514AF"/>
    <w:rsid w:val="00351C41"/>
    <w:rsid w:val="00351D48"/>
    <w:rsid w:val="0035271C"/>
    <w:rsid w:val="003538C0"/>
    <w:rsid w:val="00353DAE"/>
    <w:rsid w:val="0035420A"/>
    <w:rsid w:val="003545F5"/>
    <w:rsid w:val="00354A55"/>
    <w:rsid w:val="0035526A"/>
    <w:rsid w:val="00355C01"/>
    <w:rsid w:val="00356044"/>
    <w:rsid w:val="00356D88"/>
    <w:rsid w:val="0035754B"/>
    <w:rsid w:val="00357D09"/>
    <w:rsid w:val="003605EE"/>
    <w:rsid w:val="003623EB"/>
    <w:rsid w:val="00364D08"/>
    <w:rsid w:val="0036513E"/>
    <w:rsid w:val="00366B1A"/>
    <w:rsid w:val="00366B71"/>
    <w:rsid w:val="00366EBB"/>
    <w:rsid w:val="003672A3"/>
    <w:rsid w:val="00367414"/>
    <w:rsid w:val="003674D8"/>
    <w:rsid w:val="00367633"/>
    <w:rsid w:val="00372E6A"/>
    <w:rsid w:val="00374587"/>
    <w:rsid w:val="00376099"/>
    <w:rsid w:val="00376578"/>
    <w:rsid w:val="003767BC"/>
    <w:rsid w:val="00376863"/>
    <w:rsid w:val="0037761F"/>
    <w:rsid w:val="00377656"/>
    <w:rsid w:val="0038009E"/>
    <w:rsid w:val="0038233E"/>
    <w:rsid w:val="00383ADB"/>
    <w:rsid w:val="003842EB"/>
    <w:rsid w:val="003845C2"/>
    <w:rsid w:val="00385404"/>
    <w:rsid w:val="00385D70"/>
    <w:rsid w:val="00385DCA"/>
    <w:rsid w:val="00385FC0"/>
    <w:rsid w:val="0038771B"/>
    <w:rsid w:val="00387F59"/>
    <w:rsid w:val="00390D90"/>
    <w:rsid w:val="00391079"/>
    <w:rsid w:val="00391E8D"/>
    <w:rsid w:val="00392137"/>
    <w:rsid w:val="0039223C"/>
    <w:rsid w:val="00393791"/>
    <w:rsid w:val="00393965"/>
    <w:rsid w:val="0039496F"/>
    <w:rsid w:val="00395E63"/>
    <w:rsid w:val="0039657A"/>
    <w:rsid w:val="0039684B"/>
    <w:rsid w:val="00397AA7"/>
    <w:rsid w:val="003A0302"/>
    <w:rsid w:val="003A13DB"/>
    <w:rsid w:val="003A34BE"/>
    <w:rsid w:val="003A4455"/>
    <w:rsid w:val="003A52A0"/>
    <w:rsid w:val="003A6A35"/>
    <w:rsid w:val="003A7865"/>
    <w:rsid w:val="003B0785"/>
    <w:rsid w:val="003B0DFE"/>
    <w:rsid w:val="003B1706"/>
    <w:rsid w:val="003B226D"/>
    <w:rsid w:val="003B2458"/>
    <w:rsid w:val="003B2733"/>
    <w:rsid w:val="003B3052"/>
    <w:rsid w:val="003B39DB"/>
    <w:rsid w:val="003B3BD0"/>
    <w:rsid w:val="003B4B95"/>
    <w:rsid w:val="003B4BAC"/>
    <w:rsid w:val="003B6235"/>
    <w:rsid w:val="003B69BB"/>
    <w:rsid w:val="003C030C"/>
    <w:rsid w:val="003C03AC"/>
    <w:rsid w:val="003C0792"/>
    <w:rsid w:val="003C0820"/>
    <w:rsid w:val="003C0CD9"/>
    <w:rsid w:val="003C13B7"/>
    <w:rsid w:val="003C1A94"/>
    <w:rsid w:val="003C26C1"/>
    <w:rsid w:val="003C32F2"/>
    <w:rsid w:val="003C34B1"/>
    <w:rsid w:val="003C479D"/>
    <w:rsid w:val="003C5B8E"/>
    <w:rsid w:val="003C5C99"/>
    <w:rsid w:val="003C6297"/>
    <w:rsid w:val="003C7148"/>
    <w:rsid w:val="003D090B"/>
    <w:rsid w:val="003D0E9E"/>
    <w:rsid w:val="003D1BE3"/>
    <w:rsid w:val="003D261B"/>
    <w:rsid w:val="003D282C"/>
    <w:rsid w:val="003D2944"/>
    <w:rsid w:val="003D3B45"/>
    <w:rsid w:val="003D3D76"/>
    <w:rsid w:val="003D4480"/>
    <w:rsid w:val="003D4579"/>
    <w:rsid w:val="003D45B6"/>
    <w:rsid w:val="003D56B4"/>
    <w:rsid w:val="003E0269"/>
    <w:rsid w:val="003E0862"/>
    <w:rsid w:val="003E28EC"/>
    <w:rsid w:val="003E2D3A"/>
    <w:rsid w:val="003E31B0"/>
    <w:rsid w:val="003E7562"/>
    <w:rsid w:val="003E765B"/>
    <w:rsid w:val="003E7ABC"/>
    <w:rsid w:val="003E7C1B"/>
    <w:rsid w:val="003F0126"/>
    <w:rsid w:val="003F13CD"/>
    <w:rsid w:val="003F16CF"/>
    <w:rsid w:val="003F170A"/>
    <w:rsid w:val="003F1FAF"/>
    <w:rsid w:val="003F2876"/>
    <w:rsid w:val="003F31CC"/>
    <w:rsid w:val="003F3442"/>
    <w:rsid w:val="003F41B5"/>
    <w:rsid w:val="003F4FD7"/>
    <w:rsid w:val="003F5790"/>
    <w:rsid w:val="003F5FC5"/>
    <w:rsid w:val="003F756D"/>
    <w:rsid w:val="004015D1"/>
    <w:rsid w:val="00401F6A"/>
    <w:rsid w:val="00402E4D"/>
    <w:rsid w:val="004030EF"/>
    <w:rsid w:val="004031DB"/>
    <w:rsid w:val="004036FF"/>
    <w:rsid w:val="004043D0"/>
    <w:rsid w:val="00406291"/>
    <w:rsid w:val="00406D9A"/>
    <w:rsid w:val="004105C7"/>
    <w:rsid w:val="004116DB"/>
    <w:rsid w:val="00411758"/>
    <w:rsid w:val="0041231E"/>
    <w:rsid w:val="0041238C"/>
    <w:rsid w:val="00412925"/>
    <w:rsid w:val="00412AE4"/>
    <w:rsid w:val="00413421"/>
    <w:rsid w:val="00414314"/>
    <w:rsid w:val="0041531B"/>
    <w:rsid w:val="004155AA"/>
    <w:rsid w:val="0041658C"/>
    <w:rsid w:val="0041659B"/>
    <w:rsid w:val="0041723F"/>
    <w:rsid w:val="00417B33"/>
    <w:rsid w:val="00420044"/>
    <w:rsid w:val="004220C7"/>
    <w:rsid w:val="004222DC"/>
    <w:rsid w:val="0042349B"/>
    <w:rsid w:val="004238DD"/>
    <w:rsid w:val="0042390C"/>
    <w:rsid w:val="004264F5"/>
    <w:rsid w:val="004266AB"/>
    <w:rsid w:val="00426DED"/>
    <w:rsid w:val="00427AD7"/>
    <w:rsid w:val="00430DC8"/>
    <w:rsid w:val="00431975"/>
    <w:rsid w:val="00432595"/>
    <w:rsid w:val="00433654"/>
    <w:rsid w:val="00434EE3"/>
    <w:rsid w:val="00435360"/>
    <w:rsid w:val="00435670"/>
    <w:rsid w:val="0043599E"/>
    <w:rsid w:val="0043631F"/>
    <w:rsid w:val="004364E6"/>
    <w:rsid w:val="00437229"/>
    <w:rsid w:val="00437B11"/>
    <w:rsid w:val="00440C39"/>
    <w:rsid w:val="00440CDA"/>
    <w:rsid w:val="004417F1"/>
    <w:rsid w:val="004426BF"/>
    <w:rsid w:val="00442880"/>
    <w:rsid w:val="00442D4D"/>
    <w:rsid w:val="00443605"/>
    <w:rsid w:val="0044548C"/>
    <w:rsid w:val="004462C4"/>
    <w:rsid w:val="00446D1F"/>
    <w:rsid w:val="00450D4F"/>
    <w:rsid w:val="004519EF"/>
    <w:rsid w:val="004524F0"/>
    <w:rsid w:val="0045277A"/>
    <w:rsid w:val="00453AA3"/>
    <w:rsid w:val="00453E28"/>
    <w:rsid w:val="00454D4F"/>
    <w:rsid w:val="00455505"/>
    <w:rsid w:val="00455EA2"/>
    <w:rsid w:val="00456033"/>
    <w:rsid w:val="004563ED"/>
    <w:rsid w:val="00457362"/>
    <w:rsid w:val="0045784D"/>
    <w:rsid w:val="0045784E"/>
    <w:rsid w:val="00461C41"/>
    <w:rsid w:val="004626C5"/>
    <w:rsid w:val="0046347B"/>
    <w:rsid w:val="0046387B"/>
    <w:rsid w:val="00463A36"/>
    <w:rsid w:val="004649E9"/>
    <w:rsid w:val="004652E0"/>
    <w:rsid w:val="00465CA8"/>
    <w:rsid w:val="00466018"/>
    <w:rsid w:val="00466CAE"/>
    <w:rsid w:val="00466CE2"/>
    <w:rsid w:val="00467F0B"/>
    <w:rsid w:val="00470315"/>
    <w:rsid w:val="00470BAD"/>
    <w:rsid w:val="00470EF8"/>
    <w:rsid w:val="00471609"/>
    <w:rsid w:val="00471B11"/>
    <w:rsid w:val="00471BC4"/>
    <w:rsid w:val="0047212B"/>
    <w:rsid w:val="00473664"/>
    <w:rsid w:val="00473AA8"/>
    <w:rsid w:val="00473FAC"/>
    <w:rsid w:val="0047402E"/>
    <w:rsid w:val="0047433C"/>
    <w:rsid w:val="0047480C"/>
    <w:rsid w:val="004762AA"/>
    <w:rsid w:val="004800AF"/>
    <w:rsid w:val="004803E8"/>
    <w:rsid w:val="00480C6E"/>
    <w:rsid w:val="00481FA7"/>
    <w:rsid w:val="004836D0"/>
    <w:rsid w:val="00483D7C"/>
    <w:rsid w:val="00485308"/>
    <w:rsid w:val="004875B3"/>
    <w:rsid w:val="0048760B"/>
    <w:rsid w:val="00487D88"/>
    <w:rsid w:val="00487FF8"/>
    <w:rsid w:val="0049068F"/>
    <w:rsid w:val="00490A02"/>
    <w:rsid w:val="00490D6D"/>
    <w:rsid w:val="00491548"/>
    <w:rsid w:val="0049260C"/>
    <w:rsid w:val="00492DE7"/>
    <w:rsid w:val="00494464"/>
    <w:rsid w:val="00494A79"/>
    <w:rsid w:val="00495DBB"/>
    <w:rsid w:val="004974E4"/>
    <w:rsid w:val="00497765"/>
    <w:rsid w:val="00497C15"/>
    <w:rsid w:val="004A15AD"/>
    <w:rsid w:val="004A1BB4"/>
    <w:rsid w:val="004A2B13"/>
    <w:rsid w:val="004A2B41"/>
    <w:rsid w:val="004A4AAE"/>
    <w:rsid w:val="004A6F68"/>
    <w:rsid w:val="004A6F69"/>
    <w:rsid w:val="004A7340"/>
    <w:rsid w:val="004B169D"/>
    <w:rsid w:val="004B27B9"/>
    <w:rsid w:val="004B2DFA"/>
    <w:rsid w:val="004B3F7D"/>
    <w:rsid w:val="004B508A"/>
    <w:rsid w:val="004B57A6"/>
    <w:rsid w:val="004B57D1"/>
    <w:rsid w:val="004B5F9B"/>
    <w:rsid w:val="004B62FE"/>
    <w:rsid w:val="004B6A34"/>
    <w:rsid w:val="004B72E6"/>
    <w:rsid w:val="004B7C58"/>
    <w:rsid w:val="004B7DDA"/>
    <w:rsid w:val="004C1080"/>
    <w:rsid w:val="004C157C"/>
    <w:rsid w:val="004C17B6"/>
    <w:rsid w:val="004C1F46"/>
    <w:rsid w:val="004C2529"/>
    <w:rsid w:val="004C26B0"/>
    <w:rsid w:val="004C33C8"/>
    <w:rsid w:val="004C4774"/>
    <w:rsid w:val="004C4BF0"/>
    <w:rsid w:val="004C4FF4"/>
    <w:rsid w:val="004C75AB"/>
    <w:rsid w:val="004D026E"/>
    <w:rsid w:val="004D088F"/>
    <w:rsid w:val="004D0E21"/>
    <w:rsid w:val="004D1157"/>
    <w:rsid w:val="004D2092"/>
    <w:rsid w:val="004D369D"/>
    <w:rsid w:val="004D36A5"/>
    <w:rsid w:val="004D3FC8"/>
    <w:rsid w:val="004D4917"/>
    <w:rsid w:val="004D547E"/>
    <w:rsid w:val="004D5818"/>
    <w:rsid w:val="004D74A0"/>
    <w:rsid w:val="004D7C63"/>
    <w:rsid w:val="004E15AA"/>
    <w:rsid w:val="004E23BC"/>
    <w:rsid w:val="004E2E45"/>
    <w:rsid w:val="004E3C0B"/>
    <w:rsid w:val="004E3C1D"/>
    <w:rsid w:val="004E40DF"/>
    <w:rsid w:val="004E4A9D"/>
    <w:rsid w:val="004E590F"/>
    <w:rsid w:val="004E68AD"/>
    <w:rsid w:val="004F0DAB"/>
    <w:rsid w:val="004F1012"/>
    <w:rsid w:val="004F1165"/>
    <w:rsid w:val="004F240E"/>
    <w:rsid w:val="004F50A2"/>
    <w:rsid w:val="004F5A06"/>
    <w:rsid w:val="004F70EF"/>
    <w:rsid w:val="00501E83"/>
    <w:rsid w:val="00501E9C"/>
    <w:rsid w:val="00503443"/>
    <w:rsid w:val="005039F7"/>
    <w:rsid w:val="00503AF7"/>
    <w:rsid w:val="00503E79"/>
    <w:rsid w:val="0050553A"/>
    <w:rsid w:val="00505AB3"/>
    <w:rsid w:val="00510BCA"/>
    <w:rsid w:val="00510F3D"/>
    <w:rsid w:val="0051107B"/>
    <w:rsid w:val="005110DE"/>
    <w:rsid w:val="005125AF"/>
    <w:rsid w:val="00512788"/>
    <w:rsid w:val="00512CD3"/>
    <w:rsid w:val="00512D32"/>
    <w:rsid w:val="00512DBE"/>
    <w:rsid w:val="00513A0A"/>
    <w:rsid w:val="00513B98"/>
    <w:rsid w:val="0051427C"/>
    <w:rsid w:val="00514413"/>
    <w:rsid w:val="00514942"/>
    <w:rsid w:val="005152B5"/>
    <w:rsid w:val="00515CA7"/>
    <w:rsid w:val="00516C85"/>
    <w:rsid w:val="00516D01"/>
    <w:rsid w:val="00517022"/>
    <w:rsid w:val="0051703B"/>
    <w:rsid w:val="00517A64"/>
    <w:rsid w:val="00517E18"/>
    <w:rsid w:val="00520249"/>
    <w:rsid w:val="005202C6"/>
    <w:rsid w:val="00521841"/>
    <w:rsid w:val="00521869"/>
    <w:rsid w:val="0052358C"/>
    <w:rsid w:val="0052484D"/>
    <w:rsid w:val="00524C14"/>
    <w:rsid w:val="005256FC"/>
    <w:rsid w:val="00526CE7"/>
    <w:rsid w:val="005308CA"/>
    <w:rsid w:val="00530E2C"/>
    <w:rsid w:val="005313E9"/>
    <w:rsid w:val="0053159C"/>
    <w:rsid w:val="00532929"/>
    <w:rsid w:val="005334DE"/>
    <w:rsid w:val="005338DE"/>
    <w:rsid w:val="005346AE"/>
    <w:rsid w:val="00534F92"/>
    <w:rsid w:val="00535350"/>
    <w:rsid w:val="00536CA2"/>
    <w:rsid w:val="0054003F"/>
    <w:rsid w:val="00540465"/>
    <w:rsid w:val="005409FF"/>
    <w:rsid w:val="005416BE"/>
    <w:rsid w:val="005433B2"/>
    <w:rsid w:val="00543549"/>
    <w:rsid w:val="00543573"/>
    <w:rsid w:val="00544A90"/>
    <w:rsid w:val="00544CED"/>
    <w:rsid w:val="00545A87"/>
    <w:rsid w:val="005460E1"/>
    <w:rsid w:val="0054751F"/>
    <w:rsid w:val="00547B12"/>
    <w:rsid w:val="00547B53"/>
    <w:rsid w:val="00547F05"/>
    <w:rsid w:val="005500A6"/>
    <w:rsid w:val="005502EE"/>
    <w:rsid w:val="0055030D"/>
    <w:rsid w:val="005503BF"/>
    <w:rsid w:val="00551D29"/>
    <w:rsid w:val="00551F7C"/>
    <w:rsid w:val="005530E0"/>
    <w:rsid w:val="005538D5"/>
    <w:rsid w:val="00553ABE"/>
    <w:rsid w:val="00553F54"/>
    <w:rsid w:val="00553FD5"/>
    <w:rsid w:val="00554B8C"/>
    <w:rsid w:val="00555CFA"/>
    <w:rsid w:val="00556598"/>
    <w:rsid w:val="0055704A"/>
    <w:rsid w:val="00557A53"/>
    <w:rsid w:val="00557CDE"/>
    <w:rsid w:val="00557D48"/>
    <w:rsid w:val="005609EB"/>
    <w:rsid w:val="00560A94"/>
    <w:rsid w:val="0056116E"/>
    <w:rsid w:val="00561630"/>
    <w:rsid w:val="00562B7B"/>
    <w:rsid w:val="00563CB3"/>
    <w:rsid w:val="0056419F"/>
    <w:rsid w:val="0056571D"/>
    <w:rsid w:val="00565BC6"/>
    <w:rsid w:val="0056700A"/>
    <w:rsid w:val="005718C3"/>
    <w:rsid w:val="00571D25"/>
    <w:rsid w:val="005720F4"/>
    <w:rsid w:val="005720FE"/>
    <w:rsid w:val="00572908"/>
    <w:rsid w:val="00573EE6"/>
    <w:rsid w:val="00574E99"/>
    <w:rsid w:val="00575E5C"/>
    <w:rsid w:val="00576D36"/>
    <w:rsid w:val="00576F83"/>
    <w:rsid w:val="00577142"/>
    <w:rsid w:val="00577C2D"/>
    <w:rsid w:val="00580D9C"/>
    <w:rsid w:val="005817C3"/>
    <w:rsid w:val="00582B98"/>
    <w:rsid w:val="005839A0"/>
    <w:rsid w:val="0058678D"/>
    <w:rsid w:val="00586BA2"/>
    <w:rsid w:val="00587538"/>
    <w:rsid w:val="00587A05"/>
    <w:rsid w:val="00587EAA"/>
    <w:rsid w:val="005911D1"/>
    <w:rsid w:val="005920CA"/>
    <w:rsid w:val="00592D8F"/>
    <w:rsid w:val="005931CB"/>
    <w:rsid w:val="0059499E"/>
    <w:rsid w:val="005956AE"/>
    <w:rsid w:val="00596C78"/>
    <w:rsid w:val="00597D6D"/>
    <w:rsid w:val="00597E16"/>
    <w:rsid w:val="005A0537"/>
    <w:rsid w:val="005A0717"/>
    <w:rsid w:val="005A080B"/>
    <w:rsid w:val="005A1F45"/>
    <w:rsid w:val="005A1F81"/>
    <w:rsid w:val="005A2061"/>
    <w:rsid w:val="005A27B8"/>
    <w:rsid w:val="005A2982"/>
    <w:rsid w:val="005A3961"/>
    <w:rsid w:val="005A4361"/>
    <w:rsid w:val="005A436B"/>
    <w:rsid w:val="005A4793"/>
    <w:rsid w:val="005A4F42"/>
    <w:rsid w:val="005A5703"/>
    <w:rsid w:val="005A6826"/>
    <w:rsid w:val="005A69B0"/>
    <w:rsid w:val="005B1510"/>
    <w:rsid w:val="005B22E0"/>
    <w:rsid w:val="005B3AB6"/>
    <w:rsid w:val="005B4805"/>
    <w:rsid w:val="005B5D51"/>
    <w:rsid w:val="005B6160"/>
    <w:rsid w:val="005B645D"/>
    <w:rsid w:val="005B65C8"/>
    <w:rsid w:val="005B693D"/>
    <w:rsid w:val="005B6FE7"/>
    <w:rsid w:val="005C0764"/>
    <w:rsid w:val="005C1456"/>
    <w:rsid w:val="005C357E"/>
    <w:rsid w:val="005C375E"/>
    <w:rsid w:val="005C3980"/>
    <w:rsid w:val="005C4637"/>
    <w:rsid w:val="005C4CCA"/>
    <w:rsid w:val="005C4D0D"/>
    <w:rsid w:val="005C506F"/>
    <w:rsid w:val="005C74E7"/>
    <w:rsid w:val="005C78A4"/>
    <w:rsid w:val="005C7A63"/>
    <w:rsid w:val="005C7AFD"/>
    <w:rsid w:val="005D109F"/>
    <w:rsid w:val="005D12CB"/>
    <w:rsid w:val="005D1329"/>
    <w:rsid w:val="005D2790"/>
    <w:rsid w:val="005D2EF7"/>
    <w:rsid w:val="005D2F76"/>
    <w:rsid w:val="005D311E"/>
    <w:rsid w:val="005D3652"/>
    <w:rsid w:val="005D4990"/>
    <w:rsid w:val="005D5729"/>
    <w:rsid w:val="005D5B08"/>
    <w:rsid w:val="005D636B"/>
    <w:rsid w:val="005D6C9A"/>
    <w:rsid w:val="005D6D65"/>
    <w:rsid w:val="005D6EBD"/>
    <w:rsid w:val="005D70BF"/>
    <w:rsid w:val="005D74A0"/>
    <w:rsid w:val="005D78ED"/>
    <w:rsid w:val="005E0467"/>
    <w:rsid w:val="005E12B1"/>
    <w:rsid w:val="005E2A47"/>
    <w:rsid w:val="005E315F"/>
    <w:rsid w:val="005E4E72"/>
    <w:rsid w:val="005E4EEA"/>
    <w:rsid w:val="005E6596"/>
    <w:rsid w:val="005E65ED"/>
    <w:rsid w:val="005E7B10"/>
    <w:rsid w:val="005E7F0D"/>
    <w:rsid w:val="005F0516"/>
    <w:rsid w:val="005F2E8A"/>
    <w:rsid w:val="005F3629"/>
    <w:rsid w:val="005F3B0E"/>
    <w:rsid w:val="005F4598"/>
    <w:rsid w:val="005F45BC"/>
    <w:rsid w:val="005F4731"/>
    <w:rsid w:val="005F4FEB"/>
    <w:rsid w:val="005F54A9"/>
    <w:rsid w:val="005F6021"/>
    <w:rsid w:val="005F69F1"/>
    <w:rsid w:val="005F74A9"/>
    <w:rsid w:val="0060031F"/>
    <w:rsid w:val="00601757"/>
    <w:rsid w:val="00601C00"/>
    <w:rsid w:val="00601C2E"/>
    <w:rsid w:val="0060252C"/>
    <w:rsid w:val="00602A31"/>
    <w:rsid w:val="00602F3C"/>
    <w:rsid w:val="00603E4E"/>
    <w:rsid w:val="00604959"/>
    <w:rsid w:val="006059D1"/>
    <w:rsid w:val="00605C11"/>
    <w:rsid w:val="00606297"/>
    <w:rsid w:val="00606659"/>
    <w:rsid w:val="00606D60"/>
    <w:rsid w:val="00606D82"/>
    <w:rsid w:val="0060794E"/>
    <w:rsid w:val="006079FB"/>
    <w:rsid w:val="00610E65"/>
    <w:rsid w:val="00610F65"/>
    <w:rsid w:val="0061102F"/>
    <w:rsid w:val="006111BD"/>
    <w:rsid w:val="00611FE0"/>
    <w:rsid w:val="00613453"/>
    <w:rsid w:val="00613461"/>
    <w:rsid w:val="00613B0E"/>
    <w:rsid w:val="00615D5A"/>
    <w:rsid w:val="00616F97"/>
    <w:rsid w:val="00617E2B"/>
    <w:rsid w:val="006209C4"/>
    <w:rsid w:val="00620DB9"/>
    <w:rsid w:val="00622373"/>
    <w:rsid w:val="00625588"/>
    <w:rsid w:val="0062565C"/>
    <w:rsid w:val="00625955"/>
    <w:rsid w:val="00625AE7"/>
    <w:rsid w:val="006261DD"/>
    <w:rsid w:val="0062653A"/>
    <w:rsid w:val="006269F6"/>
    <w:rsid w:val="0062730E"/>
    <w:rsid w:val="0063048D"/>
    <w:rsid w:val="00630BE6"/>
    <w:rsid w:val="00631763"/>
    <w:rsid w:val="00631B63"/>
    <w:rsid w:val="00633A96"/>
    <w:rsid w:val="00633CAD"/>
    <w:rsid w:val="00634ED8"/>
    <w:rsid w:val="00637923"/>
    <w:rsid w:val="00642C11"/>
    <w:rsid w:val="0064396D"/>
    <w:rsid w:val="00643D6D"/>
    <w:rsid w:val="00645026"/>
    <w:rsid w:val="006450F8"/>
    <w:rsid w:val="00645109"/>
    <w:rsid w:val="00646287"/>
    <w:rsid w:val="00646A09"/>
    <w:rsid w:val="00646CF8"/>
    <w:rsid w:val="00646D97"/>
    <w:rsid w:val="006501F7"/>
    <w:rsid w:val="00650220"/>
    <w:rsid w:val="006509ED"/>
    <w:rsid w:val="006527D0"/>
    <w:rsid w:val="00653531"/>
    <w:rsid w:val="0065360A"/>
    <w:rsid w:val="00653787"/>
    <w:rsid w:val="00653809"/>
    <w:rsid w:val="006538F8"/>
    <w:rsid w:val="00654250"/>
    <w:rsid w:val="006547FD"/>
    <w:rsid w:val="006554A5"/>
    <w:rsid w:val="00656CEF"/>
    <w:rsid w:val="0065709B"/>
    <w:rsid w:val="0065760F"/>
    <w:rsid w:val="00657A8A"/>
    <w:rsid w:val="006604B7"/>
    <w:rsid w:val="006606E1"/>
    <w:rsid w:val="00661000"/>
    <w:rsid w:val="00662543"/>
    <w:rsid w:val="00662DE3"/>
    <w:rsid w:val="00663C41"/>
    <w:rsid w:val="00663CF2"/>
    <w:rsid w:val="00664AB4"/>
    <w:rsid w:val="00664AC0"/>
    <w:rsid w:val="00664D7E"/>
    <w:rsid w:val="00665749"/>
    <w:rsid w:val="0066598A"/>
    <w:rsid w:val="00666037"/>
    <w:rsid w:val="006664D4"/>
    <w:rsid w:val="00667355"/>
    <w:rsid w:val="006721A4"/>
    <w:rsid w:val="006730F1"/>
    <w:rsid w:val="00673B39"/>
    <w:rsid w:val="00675F35"/>
    <w:rsid w:val="0067662E"/>
    <w:rsid w:val="00676718"/>
    <w:rsid w:val="006770DB"/>
    <w:rsid w:val="00677B1A"/>
    <w:rsid w:val="00677BA5"/>
    <w:rsid w:val="006801A4"/>
    <w:rsid w:val="006806C3"/>
    <w:rsid w:val="006812F1"/>
    <w:rsid w:val="006814B7"/>
    <w:rsid w:val="00682D3F"/>
    <w:rsid w:val="006838CB"/>
    <w:rsid w:val="00683B75"/>
    <w:rsid w:val="00684B75"/>
    <w:rsid w:val="00684C4B"/>
    <w:rsid w:val="0068559D"/>
    <w:rsid w:val="00685AD3"/>
    <w:rsid w:val="006861E9"/>
    <w:rsid w:val="00686493"/>
    <w:rsid w:val="0068724D"/>
    <w:rsid w:val="00687488"/>
    <w:rsid w:val="0068796E"/>
    <w:rsid w:val="00687F1D"/>
    <w:rsid w:val="0069051D"/>
    <w:rsid w:val="00691195"/>
    <w:rsid w:val="00692D05"/>
    <w:rsid w:val="00692E44"/>
    <w:rsid w:val="006937EF"/>
    <w:rsid w:val="00693A6E"/>
    <w:rsid w:val="0069450E"/>
    <w:rsid w:val="00694E29"/>
    <w:rsid w:val="006954B9"/>
    <w:rsid w:val="006959F9"/>
    <w:rsid w:val="00695A2A"/>
    <w:rsid w:val="00696435"/>
    <w:rsid w:val="006A00E7"/>
    <w:rsid w:val="006A0203"/>
    <w:rsid w:val="006A34C1"/>
    <w:rsid w:val="006A3869"/>
    <w:rsid w:val="006A45F9"/>
    <w:rsid w:val="006A54E6"/>
    <w:rsid w:val="006A5952"/>
    <w:rsid w:val="006A65E7"/>
    <w:rsid w:val="006B104E"/>
    <w:rsid w:val="006B12DC"/>
    <w:rsid w:val="006B50C9"/>
    <w:rsid w:val="006B7181"/>
    <w:rsid w:val="006B7B94"/>
    <w:rsid w:val="006B7FEA"/>
    <w:rsid w:val="006C0846"/>
    <w:rsid w:val="006C1B77"/>
    <w:rsid w:val="006C1E17"/>
    <w:rsid w:val="006C34C7"/>
    <w:rsid w:val="006C37C4"/>
    <w:rsid w:val="006C527D"/>
    <w:rsid w:val="006C535C"/>
    <w:rsid w:val="006C5FF2"/>
    <w:rsid w:val="006C616C"/>
    <w:rsid w:val="006C6562"/>
    <w:rsid w:val="006C678D"/>
    <w:rsid w:val="006C6ADC"/>
    <w:rsid w:val="006C6B12"/>
    <w:rsid w:val="006C6C53"/>
    <w:rsid w:val="006C7FDD"/>
    <w:rsid w:val="006D1336"/>
    <w:rsid w:val="006D2BE0"/>
    <w:rsid w:val="006D4616"/>
    <w:rsid w:val="006D4E54"/>
    <w:rsid w:val="006D4E7C"/>
    <w:rsid w:val="006D55E5"/>
    <w:rsid w:val="006D5631"/>
    <w:rsid w:val="006D5DF1"/>
    <w:rsid w:val="006D6120"/>
    <w:rsid w:val="006D6775"/>
    <w:rsid w:val="006D75D5"/>
    <w:rsid w:val="006D7C61"/>
    <w:rsid w:val="006E048B"/>
    <w:rsid w:val="006E060C"/>
    <w:rsid w:val="006E0647"/>
    <w:rsid w:val="006E22AC"/>
    <w:rsid w:val="006E2641"/>
    <w:rsid w:val="006E402A"/>
    <w:rsid w:val="006E428B"/>
    <w:rsid w:val="006E42A1"/>
    <w:rsid w:val="006E5153"/>
    <w:rsid w:val="006E622C"/>
    <w:rsid w:val="006E6414"/>
    <w:rsid w:val="006E76F0"/>
    <w:rsid w:val="006F105E"/>
    <w:rsid w:val="006F2884"/>
    <w:rsid w:val="006F2CE0"/>
    <w:rsid w:val="006F3170"/>
    <w:rsid w:val="006F3E25"/>
    <w:rsid w:val="006F4F96"/>
    <w:rsid w:val="006F660E"/>
    <w:rsid w:val="006F6F90"/>
    <w:rsid w:val="00700362"/>
    <w:rsid w:val="00700A6B"/>
    <w:rsid w:val="007010B6"/>
    <w:rsid w:val="00701118"/>
    <w:rsid w:val="007012CC"/>
    <w:rsid w:val="00702248"/>
    <w:rsid w:val="0070274C"/>
    <w:rsid w:val="007035F6"/>
    <w:rsid w:val="00703618"/>
    <w:rsid w:val="00703B93"/>
    <w:rsid w:val="00703E73"/>
    <w:rsid w:val="00703F74"/>
    <w:rsid w:val="0070531E"/>
    <w:rsid w:val="00705F37"/>
    <w:rsid w:val="00706A71"/>
    <w:rsid w:val="007076D6"/>
    <w:rsid w:val="00707798"/>
    <w:rsid w:val="00707AC7"/>
    <w:rsid w:val="00711654"/>
    <w:rsid w:val="007119A3"/>
    <w:rsid w:val="00711A6B"/>
    <w:rsid w:val="00713A36"/>
    <w:rsid w:val="007145DC"/>
    <w:rsid w:val="00715B6E"/>
    <w:rsid w:val="00716C00"/>
    <w:rsid w:val="007170B5"/>
    <w:rsid w:val="00720638"/>
    <w:rsid w:val="007208D1"/>
    <w:rsid w:val="007232AE"/>
    <w:rsid w:val="007237DB"/>
    <w:rsid w:val="007239B9"/>
    <w:rsid w:val="007244E7"/>
    <w:rsid w:val="00724A37"/>
    <w:rsid w:val="00724C51"/>
    <w:rsid w:val="00724D57"/>
    <w:rsid w:val="007262A6"/>
    <w:rsid w:val="007264C8"/>
    <w:rsid w:val="00726B8D"/>
    <w:rsid w:val="007310D5"/>
    <w:rsid w:val="007313A2"/>
    <w:rsid w:val="00733957"/>
    <w:rsid w:val="007346E0"/>
    <w:rsid w:val="0073541E"/>
    <w:rsid w:val="007356F5"/>
    <w:rsid w:val="00735713"/>
    <w:rsid w:val="0073592D"/>
    <w:rsid w:val="007365D3"/>
    <w:rsid w:val="00736BC3"/>
    <w:rsid w:val="00736EA6"/>
    <w:rsid w:val="00736EEB"/>
    <w:rsid w:val="00740233"/>
    <w:rsid w:val="007418A8"/>
    <w:rsid w:val="00741E14"/>
    <w:rsid w:val="00742F08"/>
    <w:rsid w:val="00743936"/>
    <w:rsid w:val="00743F51"/>
    <w:rsid w:val="007455BA"/>
    <w:rsid w:val="00746829"/>
    <w:rsid w:val="00746888"/>
    <w:rsid w:val="00746B07"/>
    <w:rsid w:val="007477D3"/>
    <w:rsid w:val="0075109A"/>
    <w:rsid w:val="0075135F"/>
    <w:rsid w:val="007524C6"/>
    <w:rsid w:val="00753D70"/>
    <w:rsid w:val="007562F2"/>
    <w:rsid w:val="007568F7"/>
    <w:rsid w:val="00756C22"/>
    <w:rsid w:val="00756DF1"/>
    <w:rsid w:val="00757D5B"/>
    <w:rsid w:val="00760A73"/>
    <w:rsid w:val="00760C25"/>
    <w:rsid w:val="00761645"/>
    <w:rsid w:val="00762AFA"/>
    <w:rsid w:val="00762C8E"/>
    <w:rsid w:val="00763C0B"/>
    <w:rsid w:val="00763C26"/>
    <w:rsid w:val="00764652"/>
    <w:rsid w:val="00764A41"/>
    <w:rsid w:val="007655A6"/>
    <w:rsid w:val="0076575F"/>
    <w:rsid w:val="00765D15"/>
    <w:rsid w:val="00766020"/>
    <w:rsid w:val="00766474"/>
    <w:rsid w:val="007666AA"/>
    <w:rsid w:val="007671D3"/>
    <w:rsid w:val="00767EF2"/>
    <w:rsid w:val="00767FF7"/>
    <w:rsid w:val="00770430"/>
    <w:rsid w:val="00770DC9"/>
    <w:rsid w:val="00771AD4"/>
    <w:rsid w:val="007738C8"/>
    <w:rsid w:val="00773A8B"/>
    <w:rsid w:val="00773DD4"/>
    <w:rsid w:val="007745ED"/>
    <w:rsid w:val="007747B5"/>
    <w:rsid w:val="00775670"/>
    <w:rsid w:val="0077597A"/>
    <w:rsid w:val="00775BA7"/>
    <w:rsid w:val="0077662A"/>
    <w:rsid w:val="00780D4E"/>
    <w:rsid w:val="00781387"/>
    <w:rsid w:val="00782F09"/>
    <w:rsid w:val="007848FB"/>
    <w:rsid w:val="0078562A"/>
    <w:rsid w:val="0078568E"/>
    <w:rsid w:val="00785691"/>
    <w:rsid w:val="0078636F"/>
    <w:rsid w:val="00787BE6"/>
    <w:rsid w:val="0079081D"/>
    <w:rsid w:val="00790857"/>
    <w:rsid w:val="00793DE1"/>
    <w:rsid w:val="00794236"/>
    <w:rsid w:val="00794CDA"/>
    <w:rsid w:val="00795144"/>
    <w:rsid w:val="00795786"/>
    <w:rsid w:val="00796B05"/>
    <w:rsid w:val="0079701E"/>
    <w:rsid w:val="00797117"/>
    <w:rsid w:val="00797C8E"/>
    <w:rsid w:val="007A0E8A"/>
    <w:rsid w:val="007A2A58"/>
    <w:rsid w:val="007A309C"/>
    <w:rsid w:val="007A37FF"/>
    <w:rsid w:val="007A3C8B"/>
    <w:rsid w:val="007A3F85"/>
    <w:rsid w:val="007A4E85"/>
    <w:rsid w:val="007A4F80"/>
    <w:rsid w:val="007A54BD"/>
    <w:rsid w:val="007A55F3"/>
    <w:rsid w:val="007A743A"/>
    <w:rsid w:val="007A7EEE"/>
    <w:rsid w:val="007B00A7"/>
    <w:rsid w:val="007B0E73"/>
    <w:rsid w:val="007B1075"/>
    <w:rsid w:val="007B1483"/>
    <w:rsid w:val="007B2CD5"/>
    <w:rsid w:val="007B3310"/>
    <w:rsid w:val="007B367C"/>
    <w:rsid w:val="007B3D50"/>
    <w:rsid w:val="007B4533"/>
    <w:rsid w:val="007B5326"/>
    <w:rsid w:val="007B5A86"/>
    <w:rsid w:val="007B5B69"/>
    <w:rsid w:val="007B63AD"/>
    <w:rsid w:val="007B74D9"/>
    <w:rsid w:val="007B754B"/>
    <w:rsid w:val="007B7BE1"/>
    <w:rsid w:val="007B7E0E"/>
    <w:rsid w:val="007C0110"/>
    <w:rsid w:val="007C073E"/>
    <w:rsid w:val="007C0EDF"/>
    <w:rsid w:val="007C0EE5"/>
    <w:rsid w:val="007C10D0"/>
    <w:rsid w:val="007C14B6"/>
    <w:rsid w:val="007C2915"/>
    <w:rsid w:val="007C2D6B"/>
    <w:rsid w:val="007C3AF7"/>
    <w:rsid w:val="007C4549"/>
    <w:rsid w:val="007C47E2"/>
    <w:rsid w:val="007C4BF5"/>
    <w:rsid w:val="007C4E37"/>
    <w:rsid w:val="007C651E"/>
    <w:rsid w:val="007C7507"/>
    <w:rsid w:val="007C7E0F"/>
    <w:rsid w:val="007D0BF9"/>
    <w:rsid w:val="007D0D3E"/>
    <w:rsid w:val="007D18E0"/>
    <w:rsid w:val="007D1BA2"/>
    <w:rsid w:val="007D1FBF"/>
    <w:rsid w:val="007D22EE"/>
    <w:rsid w:val="007D2D04"/>
    <w:rsid w:val="007D37C7"/>
    <w:rsid w:val="007D3B1E"/>
    <w:rsid w:val="007D40F7"/>
    <w:rsid w:val="007D4A18"/>
    <w:rsid w:val="007D5E50"/>
    <w:rsid w:val="007D62DB"/>
    <w:rsid w:val="007D7133"/>
    <w:rsid w:val="007D7F41"/>
    <w:rsid w:val="007E1657"/>
    <w:rsid w:val="007E291E"/>
    <w:rsid w:val="007E5DB0"/>
    <w:rsid w:val="007F10EC"/>
    <w:rsid w:val="007F3755"/>
    <w:rsid w:val="007F41ED"/>
    <w:rsid w:val="007F44D5"/>
    <w:rsid w:val="007F6ADE"/>
    <w:rsid w:val="007F75F2"/>
    <w:rsid w:val="007F7FE0"/>
    <w:rsid w:val="00800ADC"/>
    <w:rsid w:val="008012AB"/>
    <w:rsid w:val="008024FC"/>
    <w:rsid w:val="00802893"/>
    <w:rsid w:val="00802957"/>
    <w:rsid w:val="0080332E"/>
    <w:rsid w:val="00803BE7"/>
    <w:rsid w:val="00803E9C"/>
    <w:rsid w:val="0080426A"/>
    <w:rsid w:val="00804D8E"/>
    <w:rsid w:val="00806582"/>
    <w:rsid w:val="00806B7D"/>
    <w:rsid w:val="00806DE2"/>
    <w:rsid w:val="00807E75"/>
    <w:rsid w:val="008111CE"/>
    <w:rsid w:val="008113C4"/>
    <w:rsid w:val="00811ADC"/>
    <w:rsid w:val="00812645"/>
    <w:rsid w:val="00812675"/>
    <w:rsid w:val="008133C9"/>
    <w:rsid w:val="00814051"/>
    <w:rsid w:val="0081432F"/>
    <w:rsid w:val="00814BA6"/>
    <w:rsid w:val="00814D9E"/>
    <w:rsid w:val="00814E76"/>
    <w:rsid w:val="00815E54"/>
    <w:rsid w:val="00816D07"/>
    <w:rsid w:val="00817AAE"/>
    <w:rsid w:val="0082062B"/>
    <w:rsid w:val="00821924"/>
    <w:rsid w:val="00821EFE"/>
    <w:rsid w:val="008229B3"/>
    <w:rsid w:val="00822DB6"/>
    <w:rsid w:val="008232C2"/>
    <w:rsid w:val="00824F3A"/>
    <w:rsid w:val="00826908"/>
    <w:rsid w:val="00826AB3"/>
    <w:rsid w:val="0082718B"/>
    <w:rsid w:val="008272F0"/>
    <w:rsid w:val="00827BEF"/>
    <w:rsid w:val="00827CF5"/>
    <w:rsid w:val="008303A9"/>
    <w:rsid w:val="00830508"/>
    <w:rsid w:val="00834C9E"/>
    <w:rsid w:val="00835166"/>
    <w:rsid w:val="00836377"/>
    <w:rsid w:val="008364AE"/>
    <w:rsid w:val="008401F1"/>
    <w:rsid w:val="0084053E"/>
    <w:rsid w:val="00840BAC"/>
    <w:rsid w:val="008429E6"/>
    <w:rsid w:val="00842B24"/>
    <w:rsid w:val="00842B5C"/>
    <w:rsid w:val="008434AC"/>
    <w:rsid w:val="00843FB6"/>
    <w:rsid w:val="008445AA"/>
    <w:rsid w:val="00845EB7"/>
    <w:rsid w:val="008463A9"/>
    <w:rsid w:val="0085063B"/>
    <w:rsid w:val="00851F75"/>
    <w:rsid w:val="00852C6C"/>
    <w:rsid w:val="00852FA3"/>
    <w:rsid w:val="00853147"/>
    <w:rsid w:val="00854620"/>
    <w:rsid w:val="00855E81"/>
    <w:rsid w:val="00856A57"/>
    <w:rsid w:val="00857057"/>
    <w:rsid w:val="0085747C"/>
    <w:rsid w:val="008605A3"/>
    <w:rsid w:val="00860B3B"/>
    <w:rsid w:val="00861509"/>
    <w:rsid w:val="00861D22"/>
    <w:rsid w:val="008631B8"/>
    <w:rsid w:val="00863B61"/>
    <w:rsid w:val="00863F8C"/>
    <w:rsid w:val="008641A9"/>
    <w:rsid w:val="0086499B"/>
    <w:rsid w:val="0086519A"/>
    <w:rsid w:val="00865AB1"/>
    <w:rsid w:val="00865DAB"/>
    <w:rsid w:val="008663E9"/>
    <w:rsid w:val="00866D19"/>
    <w:rsid w:val="00867715"/>
    <w:rsid w:val="00872022"/>
    <w:rsid w:val="00875245"/>
    <w:rsid w:val="008752E6"/>
    <w:rsid w:val="00875769"/>
    <w:rsid w:val="00875B88"/>
    <w:rsid w:val="008773B2"/>
    <w:rsid w:val="0088000F"/>
    <w:rsid w:val="00880B37"/>
    <w:rsid w:val="008813E9"/>
    <w:rsid w:val="008813FF"/>
    <w:rsid w:val="008827C2"/>
    <w:rsid w:val="008828B8"/>
    <w:rsid w:val="008831F0"/>
    <w:rsid w:val="00883965"/>
    <w:rsid w:val="00883AE4"/>
    <w:rsid w:val="00883E45"/>
    <w:rsid w:val="00883F65"/>
    <w:rsid w:val="00885E7C"/>
    <w:rsid w:val="00890264"/>
    <w:rsid w:val="00891591"/>
    <w:rsid w:val="00891C7F"/>
    <w:rsid w:val="00892079"/>
    <w:rsid w:val="00892F10"/>
    <w:rsid w:val="008951DC"/>
    <w:rsid w:val="00895201"/>
    <w:rsid w:val="00895D93"/>
    <w:rsid w:val="00896ED9"/>
    <w:rsid w:val="00896F97"/>
    <w:rsid w:val="0089717D"/>
    <w:rsid w:val="0089761F"/>
    <w:rsid w:val="00897AB7"/>
    <w:rsid w:val="00897AE9"/>
    <w:rsid w:val="008A005B"/>
    <w:rsid w:val="008A092F"/>
    <w:rsid w:val="008A14A6"/>
    <w:rsid w:val="008A3793"/>
    <w:rsid w:val="008A39FB"/>
    <w:rsid w:val="008A469B"/>
    <w:rsid w:val="008A5E79"/>
    <w:rsid w:val="008A6504"/>
    <w:rsid w:val="008A6546"/>
    <w:rsid w:val="008A7043"/>
    <w:rsid w:val="008A78E9"/>
    <w:rsid w:val="008B04DE"/>
    <w:rsid w:val="008B0A76"/>
    <w:rsid w:val="008B0CAD"/>
    <w:rsid w:val="008B15C2"/>
    <w:rsid w:val="008B23A4"/>
    <w:rsid w:val="008B2D3E"/>
    <w:rsid w:val="008B2E6E"/>
    <w:rsid w:val="008B37BF"/>
    <w:rsid w:val="008B3866"/>
    <w:rsid w:val="008B3B18"/>
    <w:rsid w:val="008B3DD2"/>
    <w:rsid w:val="008B4ECD"/>
    <w:rsid w:val="008B5027"/>
    <w:rsid w:val="008B5F17"/>
    <w:rsid w:val="008B68AA"/>
    <w:rsid w:val="008C085A"/>
    <w:rsid w:val="008C2409"/>
    <w:rsid w:val="008C2504"/>
    <w:rsid w:val="008C2B28"/>
    <w:rsid w:val="008C3610"/>
    <w:rsid w:val="008C3CEA"/>
    <w:rsid w:val="008C4B20"/>
    <w:rsid w:val="008C61B4"/>
    <w:rsid w:val="008C62E0"/>
    <w:rsid w:val="008D1C9E"/>
    <w:rsid w:val="008D31B6"/>
    <w:rsid w:val="008D5068"/>
    <w:rsid w:val="008D5141"/>
    <w:rsid w:val="008D573B"/>
    <w:rsid w:val="008D577F"/>
    <w:rsid w:val="008D5818"/>
    <w:rsid w:val="008D693A"/>
    <w:rsid w:val="008D6C3C"/>
    <w:rsid w:val="008E1646"/>
    <w:rsid w:val="008E1840"/>
    <w:rsid w:val="008E2456"/>
    <w:rsid w:val="008E2CB1"/>
    <w:rsid w:val="008E32D6"/>
    <w:rsid w:val="008E36A9"/>
    <w:rsid w:val="008E4109"/>
    <w:rsid w:val="008E47B2"/>
    <w:rsid w:val="008E64C3"/>
    <w:rsid w:val="008E6949"/>
    <w:rsid w:val="008F04EF"/>
    <w:rsid w:val="008F0BC6"/>
    <w:rsid w:val="008F1FDD"/>
    <w:rsid w:val="008F214D"/>
    <w:rsid w:val="008F37EC"/>
    <w:rsid w:val="008F3A6F"/>
    <w:rsid w:val="008F3E65"/>
    <w:rsid w:val="008F5421"/>
    <w:rsid w:val="008F6004"/>
    <w:rsid w:val="008F6213"/>
    <w:rsid w:val="00900660"/>
    <w:rsid w:val="00900884"/>
    <w:rsid w:val="009011DA"/>
    <w:rsid w:val="00901206"/>
    <w:rsid w:val="00901726"/>
    <w:rsid w:val="00901DF7"/>
    <w:rsid w:val="00902210"/>
    <w:rsid w:val="009022A3"/>
    <w:rsid w:val="009030F6"/>
    <w:rsid w:val="00903460"/>
    <w:rsid w:val="009034DF"/>
    <w:rsid w:val="0090365F"/>
    <w:rsid w:val="0090381F"/>
    <w:rsid w:val="00903D09"/>
    <w:rsid w:val="00903F38"/>
    <w:rsid w:val="00904019"/>
    <w:rsid w:val="00910C61"/>
    <w:rsid w:val="00911284"/>
    <w:rsid w:val="0091400B"/>
    <w:rsid w:val="00915377"/>
    <w:rsid w:val="009157D9"/>
    <w:rsid w:val="00915C6B"/>
    <w:rsid w:val="00916BEC"/>
    <w:rsid w:val="00916E17"/>
    <w:rsid w:val="00917D17"/>
    <w:rsid w:val="009200F7"/>
    <w:rsid w:val="0092068A"/>
    <w:rsid w:val="00921894"/>
    <w:rsid w:val="00921B38"/>
    <w:rsid w:val="0092248C"/>
    <w:rsid w:val="00922E41"/>
    <w:rsid w:val="00922FBF"/>
    <w:rsid w:val="00923980"/>
    <w:rsid w:val="009245A8"/>
    <w:rsid w:val="009262CF"/>
    <w:rsid w:val="009273D3"/>
    <w:rsid w:val="009277B2"/>
    <w:rsid w:val="009301CB"/>
    <w:rsid w:val="00930624"/>
    <w:rsid w:val="0093134D"/>
    <w:rsid w:val="00931871"/>
    <w:rsid w:val="009334C6"/>
    <w:rsid w:val="00933D13"/>
    <w:rsid w:val="00934A6C"/>
    <w:rsid w:val="009352E6"/>
    <w:rsid w:val="0093691E"/>
    <w:rsid w:val="00937412"/>
    <w:rsid w:val="00937B81"/>
    <w:rsid w:val="009404BF"/>
    <w:rsid w:val="00940DE8"/>
    <w:rsid w:val="00940F76"/>
    <w:rsid w:val="00940FBF"/>
    <w:rsid w:val="00941B53"/>
    <w:rsid w:val="00941C82"/>
    <w:rsid w:val="00941CB9"/>
    <w:rsid w:val="00941F18"/>
    <w:rsid w:val="009421E4"/>
    <w:rsid w:val="0094280A"/>
    <w:rsid w:val="009428BD"/>
    <w:rsid w:val="00944739"/>
    <w:rsid w:val="00944807"/>
    <w:rsid w:val="0094517D"/>
    <w:rsid w:val="00945AB9"/>
    <w:rsid w:val="00945BB6"/>
    <w:rsid w:val="00951B64"/>
    <w:rsid w:val="00952910"/>
    <w:rsid w:val="00954115"/>
    <w:rsid w:val="00954545"/>
    <w:rsid w:val="00954FC5"/>
    <w:rsid w:val="00955976"/>
    <w:rsid w:val="00955D60"/>
    <w:rsid w:val="009574E1"/>
    <w:rsid w:val="009577B6"/>
    <w:rsid w:val="009607DE"/>
    <w:rsid w:val="00960956"/>
    <w:rsid w:val="00960B62"/>
    <w:rsid w:val="00963607"/>
    <w:rsid w:val="0096387B"/>
    <w:rsid w:val="00964451"/>
    <w:rsid w:val="00964C72"/>
    <w:rsid w:val="00965F2F"/>
    <w:rsid w:val="009667B5"/>
    <w:rsid w:val="00970847"/>
    <w:rsid w:val="00970E74"/>
    <w:rsid w:val="00971129"/>
    <w:rsid w:val="009712BE"/>
    <w:rsid w:val="00971637"/>
    <w:rsid w:val="00971B96"/>
    <w:rsid w:val="00971DFB"/>
    <w:rsid w:val="00972148"/>
    <w:rsid w:val="00972356"/>
    <w:rsid w:val="0097273A"/>
    <w:rsid w:val="00972BEB"/>
    <w:rsid w:val="00972CE7"/>
    <w:rsid w:val="00972E10"/>
    <w:rsid w:val="00973565"/>
    <w:rsid w:val="0097360F"/>
    <w:rsid w:val="00973AF2"/>
    <w:rsid w:val="00974B8E"/>
    <w:rsid w:val="00974D8D"/>
    <w:rsid w:val="0097759F"/>
    <w:rsid w:val="00981371"/>
    <w:rsid w:val="00981F1F"/>
    <w:rsid w:val="009823F4"/>
    <w:rsid w:val="00982C69"/>
    <w:rsid w:val="00983B6E"/>
    <w:rsid w:val="00984993"/>
    <w:rsid w:val="00984ED0"/>
    <w:rsid w:val="00985030"/>
    <w:rsid w:val="00985556"/>
    <w:rsid w:val="009856B2"/>
    <w:rsid w:val="00985DAE"/>
    <w:rsid w:val="00986317"/>
    <w:rsid w:val="0098644C"/>
    <w:rsid w:val="00986C30"/>
    <w:rsid w:val="00986CC4"/>
    <w:rsid w:val="00986ECB"/>
    <w:rsid w:val="009871C5"/>
    <w:rsid w:val="00992F8C"/>
    <w:rsid w:val="00993087"/>
    <w:rsid w:val="009937A7"/>
    <w:rsid w:val="00993A2A"/>
    <w:rsid w:val="00994F6A"/>
    <w:rsid w:val="0099554D"/>
    <w:rsid w:val="0099647D"/>
    <w:rsid w:val="009977B1"/>
    <w:rsid w:val="00997A87"/>
    <w:rsid w:val="009A1391"/>
    <w:rsid w:val="009A14B5"/>
    <w:rsid w:val="009A1AD6"/>
    <w:rsid w:val="009A209F"/>
    <w:rsid w:val="009A22B6"/>
    <w:rsid w:val="009A6136"/>
    <w:rsid w:val="009B0144"/>
    <w:rsid w:val="009B098A"/>
    <w:rsid w:val="009B0B59"/>
    <w:rsid w:val="009B1A56"/>
    <w:rsid w:val="009B29A6"/>
    <w:rsid w:val="009B3720"/>
    <w:rsid w:val="009B3743"/>
    <w:rsid w:val="009B40CB"/>
    <w:rsid w:val="009B6170"/>
    <w:rsid w:val="009B66A4"/>
    <w:rsid w:val="009B7636"/>
    <w:rsid w:val="009B7784"/>
    <w:rsid w:val="009C186D"/>
    <w:rsid w:val="009C1B75"/>
    <w:rsid w:val="009C2972"/>
    <w:rsid w:val="009C36C4"/>
    <w:rsid w:val="009C4D5A"/>
    <w:rsid w:val="009C5249"/>
    <w:rsid w:val="009C5335"/>
    <w:rsid w:val="009C5A16"/>
    <w:rsid w:val="009C5DD9"/>
    <w:rsid w:val="009C6492"/>
    <w:rsid w:val="009C7796"/>
    <w:rsid w:val="009C7B11"/>
    <w:rsid w:val="009C7C37"/>
    <w:rsid w:val="009D03BE"/>
    <w:rsid w:val="009D0487"/>
    <w:rsid w:val="009D2EE2"/>
    <w:rsid w:val="009D3170"/>
    <w:rsid w:val="009D35C2"/>
    <w:rsid w:val="009D4B03"/>
    <w:rsid w:val="009D4E11"/>
    <w:rsid w:val="009D4F9B"/>
    <w:rsid w:val="009D4FD1"/>
    <w:rsid w:val="009D7603"/>
    <w:rsid w:val="009E088E"/>
    <w:rsid w:val="009E0E75"/>
    <w:rsid w:val="009E3210"/>
    <w:rsid w:val="009E33A1"/>
    <w:rsid w:val="009E4151"/>
    <w:rsid w:val="009E5DDF"/>
    <w:rsid w:val="009E7518"/>
    <w:rsid w:val="009E7A70"/>
    <w:rsid w:val="009F04CE"/>
    <w:rsid w:val="009F0AB2"/>
    <w:rsid w:val="009F21F0"/>
    <w:rsid w:val="009F2435"/>
    <w:rsid w:val="009F2DA6"/>
    <w:rsid w:val="009F2DB0"/>
    <w:rsid w:val="009F2FDC"/>
    <w:rsid w:val="009F3C09"/>
    <w:rsid w:val="009F3FA0"/>
    <w:rsid w:val="009F47F0"/>
    <w:rsid w:val="009F4D11"/>
    <w:rsid w:val="009F508A"/>
    <w:rsid w:val="009F50CE"/>
    <w:rsid w:val="009F575D"/>
    <w:rsid w:val="009F6D43"/>
    <w:rsid w:val="009F7CC3"/>
    <w:rsid w:val="00A005CD"/>
    <w:rsid w:val="00A01C78"/>
    <w:rsid w:val="00A01FA9"/>
    <w:rsid w:val="00A04A78"/>
    <w:rsid w:val="00A054FD"/>
    <w:rsid w:val="00A06847"/>
    <w:rsid w:val="00A07807"/>
    <w:rsid w:val="00A07B73"/>
    <w:rsid w:val="00A1062B"/>
    <w:rsid w:val="00A10EF6"/>
    <w:rsid w:val="00A11660"/>
    <w:rsid w:val="00A11A82"/>
    <w:rsid w:val="00A11EB6"/>
    <w:rsid w:val="00A14F79"/>
    <w:rsid w:val="00A15242"/>
    <w:rsid w:val="00A15DE4"/>
    <w:rsid w:val="00A161A4"/>
    <w:rsid w:val="00A17BFD"/>
    <w:rsid w:val="00A17DBE"/>
    <w:rsid w:val="00A20230"/>
    <w:rsid w:val="00A203C2"/>
    <w:rsid w:val="00A209AF"/>
    <w:rsid w:val="00A20C27"/>
    <w:rsid w:val="00A236D7"/>
    <w:rsid w:val="00A244E8"/>
    <w:rsid w:val="00A255AC"/>
    <w:rsid w:val="00A2645D"/>
    <w:rsid w:val="00A27DE3"/>
    <w:rsid w:val="00A3032D"/>
    <w:rsid w:val="00A307A4"/>
    <w:rsid w:val="00A31A8E"/>
    <w:rsid w:val="00A31B09"/>
    <w:rsid w:val="00A33ED9"/>
    <w:rsid w:val="00A35927"/>
    <w:rsid w:val="00A35B6E"/>
    <w:rsid w:val="00A35FC9"/>
    <w:rsid w:val="00A36152"/>
    <w:rsid w:val="00A3650D"/>
    <w:rsid w:val="00A371C9"/>
    <w:rsid w:val="00A3764E"/>
    <w:rsid w:val="00A40AC7"/>
    <w:rsid w:val="00A41AD6"/>
    <w:rsid w:val="00A4241A"/>
    <w:rsid w:val="00A43DFA"/>
    <w:rsid w:val="00A44B25"/>
    <w:rsid w:val="00A46556"/>
    <w:rsid w:val="00A466A3"/>
    <w:rsid w:val="00A46B7F"/>
    <w:rsid w:val="00A46E87"/>
    <w:rsid w:val="00A47659"/>
    <w:rsid w:val="00A50AB4"/>
    <w:rsid w:val="00A5298F"/>
    <w:rsid w:val="00A529B5"/>
    <w:rsid w:val="00A52C1F"/>
    <w:rsid w:val="00A5360B"/>
    <w:rsid w:val="00A53704"/>
    <w:rsid w:val="00A53F8F"/>
    <w:rsid w:val="00A5527A"/>
    <w:rsid w:val="00A573D9"/>
    <w:rsid w:val="00A60B3F"/>
    <w:rsid w:val="00A612D4"/>
    <w:rsid w:val="00A61B8F"/>
    <w:rsid w:val="00A62E15"/>
    <w:rsid w:val="00A6347A"/>
    <w:rsid w:val="00A63510"/>
    <w:rsid w:val="00A63E7C"/>
    <w:rsid w:val="00A6486B"/>
    <w:rsid w:val="00A64E2C"/>
    <w:rsid w:val="00A65101"/>
    <w:rsid w:val="00A65F9D"/>
    <w:rsid w:val="00A66DC1"/>
    <w:rsid w:val="00A66F84"/>
    <w:rsid w:val="00A6729B"/>
    <w:rsid w:val="00A67A24"/>
    <w:rsid w:val="00A702A7"/>
    <w:rsid w:val="00A703DB"/>
    <w:rsid w:val="00A70434"/>
    <w:rsid w:val="00A70C6D"/>
    <w:rsid w:val="00A7239E"/>
    <w:rsid w:val="00A727C4"/>
    <w:rsid w:val="00A72F38"/>
    <w:rsid w:val="00A73026"/>
    <w:rsid w:val="00A75318"/>
    <w:rsid w:val="00A75B10"/>
    <w:rsid w:val="00A77EA5"/>
    <w:rsid w:val="00A808DE"/>
    <w:rsid w:val="00A80932"/>
    <w:rsid w:val="00A81687"/>
    <w:rsid w:val="00A82A83"/>
    <w:rsid w:val="00A8303B"/>
    <w:rsid w:val="00A833B4"/>
    <w:rsid w:val="00A83630"/>
    <w:rsid w:val="00A83AC0"/>
    <w:rsid w:val="00A83C22"/>
    <w:rsid w:val="00A83D5E"/>
    <w:rsid w:val="00A83FEB"/>
    <w:rsid w:val="00A84024"/>
    <w:rsid w:val="00A84C0B"/>
    <w:rsid w:val="00A850E3"/>
    <w:rsid w:val="00A86290"/>
    <w:rsid w:val="00A870A6"/>
    <w:rsid w:val="00A87601"/>
    <w:rsid w:val="00A87D05"/>
    <w:rsid w:val="00A87DFD"/>
    <w:rsid w:val="00A911A4"/>
    <w:rsid w:val="00A91C36"/>
    <w:rsid w:val="00A94A89"/>
    <w:rsid w:val="00AA0F7D"/>
    <w:rsid w:val="00AA26DF"/>
    <w:rsid w:val="00AA2947"/>
    <w:rsid w:val="00AA4F64"/>
    <w:rsid w:val="00AA53C9"/>
    <w:rsid w:val="00AA58AD"/>
    <w:rsid w:val="00AA65C8"/>
    <w:rsid w:val="00AA6CB4"/>
    <w:rsid w:val="00AA74C4"/>
    <w:rsid w:val="00AA7C99"/>
    <w:rsid w:val="00AB0097"/>
    <w:rsid w:val="00AB0C4E"/>
    <w:rsid w:val="00AB174C"/>
    <w:rsid w:val="00AB2941"/>
    <w:rsid w:val="00AB351A"/>
    <w:rsid w:val="00AB3534"/>
    <w:rsid w:val="00AB38A0"/>
    <w:rsid w:val="00AB3982"/>
    <w:rsid w:val="00AB3F67"/>
    <w:rsid w:val="00AB4005"/>
    <w:rsid w:val="00AB4983"/>
    <w:rsid w:val="00AB4CE5"/>
    <w:rsid w:val="00AB4D51"/>
    <w:rsid w:val="00AB5E65"/>
    <w:rsid w:val="00AB787B"/>
    <w:rsid w:val="00AC0E54"/>
    <w:rsid w:val="00AC2140"/>
    <w:rsid w:val="00AC23B1"/>
    <w:rsid w:val="00AC253E"/>
    <w:rsid w:val="00AC25DD"/>
    <w:rsid w:val="00AC3210"/>
    <w:rsid w:val="00AC528E"/>
    <w:rsid w:val="00AC60C3"/>
    <w:rsid w:val="00AC6D69"/>
    <w:rsid w:val="00AD00A0"/>
    <w:rsid w:val="00AD1051"/>
    <w:rsid w:val="00AD1C31"/>
    <w:rsid w:val="00AD208A"/>
    <w:rsid w:val="00AD245C"/>
    <w:rsid w:val="00AD2D4B"/>
    <w:rsid w:val="00AD320A"/>
    <w:rsid w:val="00AD37F0"/>
    <w:rsid w:val="00AD54AC"/>
    <w:rsid w:val="00AD602B"/>
    <w:rsid w:val="00AD6807"/>
    <w:rsid w:val="00AD758D"/>
    <w:rsid w:val="00AD784C"/>
    <w:rsid w:val="00AE0925"/>
    <w:rsid w:val="00AE0BDB"/>
    <w:rsid w:val="00AE15FE"/>
    <w:rsid w:val="00AE350E"/>
    <w:rsid w:val="00AE3845"/>
    <w:rsid w:val="00AE3D0D"/>
    <w:rsid w:val="00AE47BC"/>
    <w:rsid w:val="00AE5D1B"/>
    <w:rsid w:val="00AE5DB3"/>
    <w:rsid w:val="00AE61F2"/>
    <w:rsid w:val="00AE6319"/>
    <w:rsid w:val="00AE6473"/>
    <w:rsid w:val="00AE6B4D"/>
    <w:rsid w:val="00AE6F86"/>
    <w:rsid w:val="00AE70BD"/>
    <w:rsid w:val="00AF0B96"/>
    <w:rsid w:val="00AF2528"/>
    <w:rsid w:val="00AF2CB5"/>
    <w:rsid w:val="00AF2FE8"/>
    <w:rsid w:val="00AF45C9"/>
    <w:rsid w:val="00AF46F3"/>
    <w:rsid w:val="00AF527C"/>
    <w:rsid w:val="00AF591D"/>
    <w:rsid w:val="00AF642C"/>
    <w:rsid w:val="00AF6641"/>
    <w:rsid w:val="00AF7178"/>
    <w:rsid w:val="00AF771D"/>
    <w:rsid w:val="00AF7B49"/>
    <w:rsid w:val="00AF7E60"/>
    <w:rsid w:val="00B008D6"/>
    <w:rsid w:val="00B00E04"/>
    <w:rsid w:val="00B02034"/>
    <w:rsid w:val="00B02829"/>
    <w:rsid w:val="00B03010"/>
    <w:rsid w:val="00B03792"/>
    <w:rsid w:val="00B03CD1"/>
    <w:rsid w:val="00B03FA7"/>
    <w:rsid w:val="00B04BB2"/>
    <w:rsid w:val="00B05912"/>
    <w:rsid w:val="00B0721E"/>
    <w:rsid w:val="00B07E5F"/>
    <w:rsid w:val="00B10F49"/>
    <w:rsid w:val="00B1322D"/>
    <w:rsid w:val="00B13316"/>
    <w:rsid w:val="00B1395E"/>
    <w:rsid w:val="00B139FF"/>
    <w:rsid w:val="00B1604E"/>
    <w:rsid w:val="00B16B53"/>
    <w:rsid w:val="00B16C35"/>
    <w:rsid w:val="00B1738B"/>
    <w:rsid w:val="00B211EA"/>
    <w:rsid w:val="00B21CBE"/>
    <w:rsid w:val="00B2283C"/>
    <w:rsid w:val="00B22B5E"/>
    <w:rsid w:val="00B23635"/>
    <w:rsid w:val="00B24557"/>
    <w:rsid w:val="00B246B1"/>
    <w:rsid w:val="00B26184"/>
    <w:rsid w:val="00B26220"/>
    <w:rsid w:val="00B26F53"/>
    <w:rsid w:val="00B26F8B"/>
    <w:rsid w:val="00B30FEC"/>
    <w:rsid w:val="00B32370"/>
    <w:rsid w:val="00B344FF"/>
    <w:rsid w:val="00B346C4"/>
    <w:rsid w:val="00B3487F"/>
    <w:rsid w:val="00B36823"/>
    <w:rsid w:val="00B405F7"/>
    <w:rsid w:val="00B40EA5"/>
    <w:rsid w:val="00B41351"/>
    <w:rsid w:val="00B4135C"/>
    <w:rsid w:val="00B41B25"/>
    <w:rsid w:val="00B4242D"/>
    <w:rsid w:val="00B4245F"/>
    <w:rsid w:val="00B42557"/>
    <w:rsid w:val="00B42B1E"/>
    <w:rsid w:val="00B42CF8"/>
    <w:rsid w:val="00B459D2"/>
    <w:rsid w:val="00B46221"/>
    <w:rsid w:val="00B46D05"/>
    <w:rsid w:val="00B47541"/>
    <w:rsid w:val="00B475BC"/>
    <w:rsid w:val="00B50338"/>
    <w:rsid w:val="00B505E7"/>
    <w:rsid w:val="00B50817"/>
    <w:rsid w:val="00B50B39"/>
    <w:rsid w:val="00B50D12"/>
    <w:rsid w:val="00B51A6C"/>
    <w:rsid w:val="00B51C0C"/>
    <w:rsid w:val="00B52446"/>
    <w:rsid w:val="00B529F0"/>
    <w:rsid w:val="00B53235"/>
    <w:rsid w:val="00B5454B"/>
    <w:rsid w:val="00B54A94"/>
    <w:rsid w:val="00B54D84"/>
    <w:rsid w:val="00B56442"/>
    <w:rsid w:val="00B56FD1"/>
    <w:rsid w:val="00B57D0E"/>
    <w:rsid w:val="00B60B85"/>
    <w:rsid w:val="00B62443"/>
    <w:rsid w:val="00B6355A"/>
    <w:rsid w:val="00B64BD7"/>
    <w:rsid w:val="00B65C5E"/>
    <w:rsid w:val="00B671C2"/>
    <w:rsid w:val="00B67246"/>
    <w:rsid w:val="00B706CB"/>
    <w:rsid w:val="00B7091B"/>
    <w:rsid w:val="00B70ECC"/>
    <w:rsid w:val="00B7192B"/>
    <w:rsid w:val="00B72965"/>
    <w:rsid w:val="00B72FC0"/>
    <w:rsid w:val="00B73ECC"/>
    <w:rsid w:val="00B7434B"/>
    <w:rsid w:val="00B75144"/>
    <w:rsid w:val="00B7556C"/>
    <w:rsid w:val="00B75803"/>
    <w:rsid w:val="00B75C78"/>
    <w:rsid w:val="00B76470"/>
    <w:rsid w:val="00B76EF4"/>
    <w:rsid w:val="00B77921"/>
    <w:rsid w:val="00B77972"/>
    <w:rsid w:val="00B77A66"/>
    <w:rsid w:val="00B77B87"/>
    <w:rsid w:val="00B77FB6"/>
    <w:rsid w:val="00B8043A"/>
    <w:rsid w:val="00B8046C"/>
    <w:rsid w:val="00B816D1"/>
    <w:rsid w:val="00B816F3"/>
    <w:rsid w:val="00B81BE3"/>
    <w:rsid w:val="00B82257"/>
    <w:rsid w:val="00B83A43"/>
    <w:rsid w:val="00B85147"/>
    <w:rsid w:val="00B85A89"/>
    <w:rsid w:val="00B86168"/>
    <w:rsid w:val="00B867C4"/>
    <w:rsid w:val="00B877F5"/>
    <w:rsid w:val="00B87A4C"/>
    <w:rsid w:val="00B90519"/>
    <w:rsid w:val="00B9109A"/>
    <w:rsid w:val="00B91535"/>
    <w:rsid w:val="00B91768"/>
    <w:rsid w:val="00B91BFB"/>
    <w:rsid w:val="00B9224B"/>
    <w:rsid w:val="00B9418C"/>
    <w:rsid w:val="00B94C31"/>
    <w:rsid w:val="00B9589A"/>
    <w:rsid w:val="00B96025"/>
    <w:rsid w:val="00B96934"/>
    <w:rsid w:val="00B96FFC"/>
    <w:rsid w:val="00B97A3A"/>
    <w:rsid w:val="00BA0317"/>
    <w:rsid w:val="00BA0B36"/>
    <w:rsid w:val="00BA0C4F"/>
    <w:rsid w:val="00BA127B"/>
    <w:rsid w:val="00BA2789"/>
    <w:rsid w:val="00BA2C78"/>
    <w:rsid w:val="00BA4F4A"/>
    <w:rsid w:val="00BA59E4"/>
    <w:rsid w:val="00BA615A"/>
    <w:rsid w:val="00BA64EC"/>
    <w:rsid w:val="00BA6B6A"/>
    <w:rsid w:val="00BA71BB"/>
    <w:rsid w:val="00BA78F8"/>
    <w:rsid w:val="00BA7C86"/>
    <w:rsid w:val="00BB1C07"/>
    <w:rsid w:val="00BB3C11"/>
    <w:rsid w:val="00BB3D30"/>
    <w:rsid w:val="00BB4D32"/>
    <w:rsid w:val="00BB61D9"/>
    <w:rsid w:val="00BB75E0"/>
    <w:rsid w:val="00BB7A5C"/>
    <w:rsid w:val="00BB7AD8"/>
    <w:rsid w:val="00BC1A84"/>
    <w:rsid w:val="00BC2041"/>
    <w:rsid w:val="00BC2C9C"/>
    <w:rsid w:val="00BC2CA3"/>
    <w:rsid w:val="00BC334A"/>
    <w:rsid w:val="00BC3A7A"/>
    <w:rsid w:val="00BC4C8B"/>
    <w:rsid w:val="00BC4CF0"/>
    <w:rsid w:val="00BC4E5F"/>
    <w:rsid w:val="00BC4F6E"/>
    <w:rsid w:val="00BC553C"/>
    <w:rsid w:val="00BC59D1"/>
    <w:rsid w:val="00BC5AEA"/>
    <w:rsid w:val="00BC69BB"/>
    <w:rsid w:val="00BD0699"/>
    <w:rsid w:val="00BD0D63"/>
    <w:rsid w:val="00BD1C3E"/>
    <w:rsid w:val="00BD1EF6"/>
    <w:rsid w:val="00BD39B9"/>
    <w:rsid w:val="00BD3A74"/>
    <w:rsid w:val="00BD3BFE"/>
    <w:rsid w:val="00BD497C"/>
    <w:rsid w:val="00BD5175"/>
    <w:rsid w:val="00BD5ECE"/>
    <w:rsid w:val="00BD5FC0"/>
    <w:rsid w:val="00BD62F4"/>
    <w:rsid w:val="00BD6446"/>
    <w:rsid w:val="00BD6C95"/>
    <w:rsid w:val="00BD7869"/>
    <w:rsid w:val="00BD7E09"/>
    <w:rsid w:val="00BE062E"/>
    <w:rsid w:val="00BE0A64"/>
    <w:rsid w:val="00BE1774"/>
    <w:rsid w:val="00BE1ABC"/>
    <w:rsid w:val="00BE1B81"/>
    <w:rsid w:val="00BE1C29"/>
    <w:rsid w:val="00BE279A"/>
    <w:rsid w:val="00BE3E97"/>
    <w:rsid w:val="00BE40D6"/>
    <w:rsid w:val="00BE5613"/>
    <w:rsid w:val="00BE5EEA"/>
    <w:rsid w:val="00BE7455"/>
    <w:rsid w:val="00BF0383"/>
    <w:rsid w:val="00BF1E3C"/>
    <w:rsid w:val="00BF1F50"/>
    <w:rsid w:val="00BF2180"/>
    <w:rsid w:val="00BF26D5"/>
    <w:rsid w:val="00BF2CF1"/>
    <w:rsid w:val="00BF303F"/>
    <w:rsid w:val="00BF315B"/>
    <w:rsid w:val="00BF338C"/>
    <w:rsid w:val="00BF43C5"/>
    <w:rsid w:val="00BF4426"/>
    <w:rsid w:val="00BF44F6"/>
    <w:rsid w:val="00BF45DE"/>
    <w:rsid w:val="00BF56B6"/>
    <w:rsid w:val="00BF6B45"/>
    <w:rsid w:val="00BF72A4"/>
    <w:rsid w:val="00BF7867"/>
    <w:rsid w:val="00BF7A93"/>
    <w:rsid w:val="00C021D4"/>
    <w:rsid w:val="00C02838"/>
    <w:rsid w:val="00C030D8"/>
    <w:rsid w:val="00C03329"/>
    <w:rsid w:val="00C03600"/>
    <w:rsid w:val="00C05E37"/>
    <w:rsid w:val="00C07996"/>
    <w:rsid w:val="00C07E36"/>
    <w:rsid w:val="00C10866"/>
    <w:rsid w:val="00C109C6"/>
    <w:rsid w:val="00C119EE"/>
    <w:rsid w:val="00C11C22"/>
    <w:rsid w:val="00C130EA"/>
    <w:rsid w:val="00C13B59"/>
    <w:rsid w:val="00C13F23"/>
    <w:rsid w:val="00C14D99"/>
    <w:rsid w:val="00C16009"/>
    <w:rsid w:val="00C160E1"/>
    <w:rsid w:val="00C173F7"/>
    <w:rsid w:val="00C2026D"/>
    <w:rsid w:val="00C2045D"/>
    <w:rsid w:val="00C21063"/>
    <w:rsid w:val="00C21A58"/>
    <w:rsid w:val="00C22336"/>
    <w:rsid w:val="00C22699"/>
    <w:rsid w:val="00C22CB5"/>
    <w:rsid w:val="00C242C5"/>
    <w:rsid w:val="00C2456E"/>
    <w:rsid w:val="00C24B6A"/>
    <w:rsid w:val="00C25524"/>
    <w:rsid w:val="00C25A2B"/>
    <w:rsid w:val="00C25A2E"/>
    <w:rsid w:val="00C30173"/>
    <w:rsid w:val="00C307AE"/>
    <w:rsid w:val="00C309B0"/>
    <w:rsid w:val="00C31959"/>
    <w:rsid w:val="00C31F77"/>
    <w:rsid w:val="00C3217B"/>
    <w:rsid w:val="00C32B6B"/>
    <w:rsid w:val="00C33358"/>
    <w:rsid w:val="00C343B0"/>
    <w:rsid w:val="00C34592"/>
    <w:rsid w:val="00C34EC3"/>
    <w:rsid w:val="00C36151"/>
    <w:rsid w:val="00C367FA"/>
    <w:rsid w:val="00C36867"/>
    <w:rsid w:val="00C36F87"/>
    <w:rsid w:val="00C37741"/>
    <w:rsid w:val="00C4111A"/>
    <w:rsid w:val="00C42B46"/>
    <w:rsid w:val="00C43064"/>
    <w:rsid w:val="00C44791"/>
    <w:rsid w:val="00C44E16"/>
    <w:rsid w:val="00C45A4E"/>
    <w:rsid w:val="00C45E1E"/>
    <w:rsid w:val="00C4616B"/>
    <w:rsid w:val="00C50932"/>
    <w:rsid w:val="00C5158A"/>
    <w:rsid w:val="00C51988"/>
    <w:rsid w:val="00C52BA3"/>
    <w:rsid w:val="00C54131"/>
    <w:rsid w:val="00C54D8E"/>
    <w:rsid w:val="00C55538"/>
    <w:rsid w:val="00C55A7E"/>
    <w:rsid w:val="00C5651F"/>
    <w:rsid w:val="00C56A65"/>
    <w:rsid w:val="00C56D7D"/>
    <w:rsid w:val="00C57F71"/>
    <w:rsid w:val="00C609E9"/>
    <w:rsid w:val="00C60BE6"/>
    <w:rsid w:val="00C62546"/>
    <w:rsid w:val="00C625AB"/>
    <w:rsid w:val="00C62CF0"/>
    <w:rsid w:val="00C62F7E"/>
    <w:rsid w:val="00C63C6B"/>
    <w:rsid w:val="00C63D71"/>
    <w:rsid w:val="00C657AE"/>
    <w:rsid w:val="00C70A03"/>
    <w:rsid w:val="00C71995"/>
    <w:rsid w:val="00C71DD0"/>
    <w:rsid w:val="00C72F98"/>
    <w:rsid w:val="00C740D1"/>
    <w:rsid w:val="00C7468B"/>
    <w:rsid w:val="00C7522B"/>
    <w:rsid w:val="00C7522D"/>
    <w:rsid w:val="00C75EA7"/>
    <w:rsid w:val="00C75FE8"/>
    <w:rsid w:val="00C776DF"/>
    <w:rsid w:val="00C77AA6"/>
    <w:rsid w:val="00C80544"/>
    <w:rsid w:val="00C81A95"/>
    <w:rsid w:val="00C81DF7"/>
    <w:rsid w:val="00C81ECB"/>
    <w:rsid w:val="00C82127"/>
    <w:rsid w:val="00C82FDC"/>
    <w:rsid w:val="00C83056"/>
    <w:rsid w:val="00C8394C"/>
    <w:rsid w:val="00C83DF3"/>
    <w:rsid w:val="00C867B1"/>
    <w:rsid w:val="00C86B48"/>
    <w:rsid w:val="00C86EDF"/>
    <w:rsid w:val="00C86FE5"/>
    <w:rsid w:val="00C90A54"/>
    <w:rsid w:val="00C90D01"/>
    <w:rsid w:val="00C923DA"/>
    <w:rsid w:val="00C928F2"/>
    <w:rsid w:val="00C9317A"/>
    <w:rsid w:val="00C93803"/>
    <w:rsid w:val="00C939DE"/>
    <w:rsid w:val="00C947FF"/>
    <w:rsid w:val="00C94CD1"/>
    <w:rsid w:val="00C953F6"/>
    <w:rsid w:val="00C96A9A"/>
    <w:rsid w:val="00C96ADB"/>
    <w:rsid w:val="00CA09A0"/>
    <w:rsid w:val="00CA1678"/>
    <w:rsid w:val="00CA3695"/>
    <w:rsid w:val="00CA408B"/>
    <w:rsid w:val="00CA5145"/>
    <w:rsid w:val="00CA5327"/>
    <w:rsid w:val="00CA61F2"/>
    <w:rsid w:val="00CA6603"/>
    <w:rsid w:val="00CA6772"/>
    <w:rsid w:val="00CA6AE1"/>
    <w:rsid w:val="00CA7C3B"/>
    <w:rsid w:val="00CB0351"/>
    <w:rsid w:val="00CB0F48"/>
    <w:rsid w:val="00CB1723"/>
    <w:rsid w:val="00CB242B"/>
    <w:rsid w:val="00CB39E4"/>
    <w:rsid w:val="00CB4CAC"/>
    <w:rsid w:val="00CB4D7A"/>
    <w:rsid w:val="00CB4E05"/>
    <w:rsid w:val="00CB6764"/>
    <w:rsid w:val="00CB6B08"/>
    <w:rsid w:val="00CB7517"/>
    <w:rsid w:val="00CC0DB8"/>
    <w:rsid w:val="00CC0EA0"/>
    <w:rsid w:val="00CC14C2"/>
    <w:rsid w:val="00CC1F4B"/>
    <w:rsid w:val="00CC2860"/>
    <w:rsid w:val="00CC348C"/>
    <w:rsid w:val="00CC6136"/>
    <w:rsid w:val="00CC6171"/>
    <w:rsid w:val="00CC6F84"/>
    <w:rsid w:val="00CC7672"/>
    <w:rsid w:val="00CD1187"/>
    <w:rsid w:val="00CD1C01"/>
    <w:rsid w:val="00CD1C14"/>
    <w:rsid w:val="00CD2787"/>
    <w:rsid w:val="00CD30CB"/>
    <w:rsid w:val="00CD45CA"/>
    <w:rsid w:val="00CD4649"/>
    <w:rsid w:val="00CD4BD2"/>
    <w:rsid w:val="00CD4DAB"/>
    <w:rsid w:val="00CD55AA"/>
    <w:rsid w:val="00CD5FB6"/>
    <w:rsid w:val="00CD5FE9"/>
    <w:rsid w:val="00CD749C"/>
    <w:rsid w:val="00CE12EF"/>
    <w:rsid w:val="00CE16BE"/>
    <w:rsid w:val="00CE25EE"/>
    <w:rsid w:val="00CE26F8"/>
    <w:rsid w:val="00CE2BCF"/>
    <w:rsid w:val="00CE3ADB"/>
    <w:rsid w:val="00CE41B5"/>
    <w:rsid w:val="00CE43FB"/>
    <w:rsid w:val="00CE5BF4"/>
    <w:rsid w:val="00CE6BAF"/>
    <w:rsid w:val="00CE71C9"/>
    <w:rsid w:val="00CE763A"/>
    <w:rsid w:val="00CE76CA"/>
    <w:rsid w:val="00CF03C8"/>
    <w:rsid w:val="00CF0C28"/>
    <w:rsid w:val="00CF30C6"/>
    <w:rsid w:val="00CF3F14"/>
    <w:rsid w:val="00CF4173"/>
    <w:rsid w:val="00CF4560"/>
    <w:rsid w:val="00CF45A7"/>
    <w:rsid w:val="00CF765A"/>
    <w:rsid w:val="00CF76DF"/>
    <w:rsid w:val="00CF7752"/>
    <w:rsid w:val="00CF7FAD"/>
    <w:rsid w:val="00D00F8C"/>
    <w:rsid w:val="00D01202"/>
    <w:rsid w:val="00D02976"/>
    <w:rsid w:val="00D04079"/>
    <w:rsid w:val="00D06796"/>
    <w:rsid w:val="00D0686E"/>
    <w:rsid w:val="00D06F5B"/>
    <w:rsid w:val="00D073AA"/>
    <w:rsid w:val="00D103BC"/>
    <w:rsid w:val="00D10B34"/>
    <w:rsid w:val="00D12014"/>
    <w:rsid w:val="00D12169"/>
    <w:rsid w:val="00D1393F"/>
    <w:rsid w:val="00D14481"/>
    <w:rsid w:val="00D1470A"/>
    <w:rsid w:val="00D14EC2"/>
    <w:rsid w:val="00D16B0F"/>
    <w:rsid w:val="00D16DCA"/>
    <w:rsid w:val="00D17E57"/>
    <w:rsid w:val="00D20719"/>
    <w:rsid w:val="00D20748"/>
    <w:rsid w:val="00D209A0"/>
    <w:rsid w:val="00D20CA3"/>
    <w:rsid w:val="00D2179B"/>
    <w:rsid w:val="00D21E0C"/>
    <w:rsid w:val="00D21E0E"/>
    <w:rsid w:val="00D2211A"/>
    <w:rsid w:val="00D22155"/>
    <w:rsid w:val="00D22A33"/>
    <w:rsid w:val="00D23DE9"/>
    <w:rsid w:val="00D23ECF"/>
    <w:rsid w:val="00D240FB"/>
    <w:rsid w:val="00D2428B"/>
    <w:rsid w:val="00D24950"/>
    <w:rsid w:val="00D2562C"/>
    <w:rsid w:val="00D26383"/>
    <w:rsid w:val="00D264A2"/>
    <w:rsid w:val="00D2679F"/>
    <w:rsid w:val="00D26BE6"/>
    <w:rsid w:val="00D26C2A"/>
    <w:rsid w:val="00D27C34"/>
    <w:rsid w:val="00D27D65"/>
    <w:rsid w:val="00D27DD5"/>
    <w:rsid w:val="00D30CF9"/>
    <w:rsid w:val="00D31530"/>
    <w:rsid w:val="00D31601"/>
    <w:rsid w:val="00D3275A"/>
    <w:rsid w:val="00D33794"/>
    <w:rsid w:val="00D3398E"/>
    <w:rsid w:val="00D33DD4"/>
    <w:rsid w:val="00D34C3A"/>
    <w:rsid w:val="00D35074"/>
    <w:rsid w:val="00D353EF"/>
    <w:rsid w:val="00D358A2"/>
    <w:rsid w:val="00D35B03"/>
    <w:rsid w:val="00D36B5C"/>
    <w:rsid w:val="00D40851"/>
    <w:rsid w:val="00D40E4B"/>
    <w:rsid w:val="00D41318"/>
    <w:rsid w:val="00D41F8F"/>
    <w:rsid w:val="00D422BD"/>
    <w:rsid w:val="00D42C4C"/>
    <w:rsid w:val="00D4329A"/>
    <w:rsid w:val="00D433D4"/>
    <w:rsid w:val="00D43B45"/>
    <w:rsid w:val="00D44179"/>
    <w:rsid w:val="00D450A6"/>
    <w:rsid w:val="00D45A9A"/>
    <w:rsid w:val="00D47405"/>
    <w:rsid w:val="00D47474"/>
    <w:rsid w:val="00D475B7"/>
    <w:rsid w:val="00D476CB"/>
    <w:rsid w:val="00D51C24"/>
    <w:rsid w:val="00D52024"/>
    <w:rsid w:val="00D52661"/>
    <w:rsid w:val="00D528E0"/>
    <w:rsid w:val="00D52F11"/>
    <w:rsid w:val="00D5334C"/>
    <w:rsid w:val="00D53BFA"/>
    <w:rsid w:val="00D53F01"/>
    <w:rsid w:val="00D543C8"/>
    <w:rsid w:val="00D55377"/>
    <w:rsid w:val="00D55CFC"/>
    <w:rsid w:val="00D57F4C"/>
    <w:rsid w:val="00D6012D"/>
    <w:rsid w:val="00D610B1"/>
    <w:rsid w:val="00D622AA"/>
    <w:rsid w:val="00D62E4F"/>
    <w:rsid w:val="00D6355E"/>
    <w:rsid w:val="00D64B21"/>
    <w:rsid w:val="00D64C5A"/>
    <w:rsid w:val="00D65073"/>
    <w:rsid w:val="00D656B2"/>
    <w:rsid w:val="00D65EBB"/>
    <w:rsid w:val="00D66DDE"/>
    <w:rsid w:val="00D67075"/>
    <w:rsid w:val="00D67570"/>
    <w:rsid w:val="00D67723"/>
    <w:rsid w:val="00D704D1"/>
    <w:rsid w:val="00D70DA6"/>
    <w:rsid w:val="00D71484"/>
    <w:rsid w:val="00D72105"/>
    <w:rsid w:val="00D723FE"/>
    <w:rsid w:val="00D73F62"/>
    <w:rsid w:val="00D74436"/>
    <w:rsid w:val="00D75D9B"/>
    <w:rsid w:val="00D76086"/>
    <w:rsid w:val="00D76391"/>
    <w:rsid w:val="00D76456"/>
    <w:rsid w:val="00D7749D"/>
    <w:rsid w:val="00D80A65"/>
    <w:rsid w:val="00D81678"/>
    <w:rsid w:val="00D840AA"/>
    <w:rsid w:val="00D84CD1"/>
    <w:rsid w:val="00D8572A"/>
    <w:rsid w:val="00D85F3A"/>
    <w:rsid w:val="00D868ED"/>
    <w:rsid w:val="00D9128B"/>
    <w:rsid w:val="00D9290A"/>
    <w:rsid w:val="00D93002"/>
    <w:rsid w:val="00D9313F"/>
    <w:rsid w:val="00D93D27"/>
    <w:rsid w:val="00D95105"/>
    <w:rsid w:val="00D95CCE"/>
    <w:rsid w:val="00D962AD"/>
    <w:rsid w:val="00D96C29"/>
    <w:rsid w:val="00D97E09"/>
    <w:rsid w:val="00DA0C49"/>
    <w:rsid w:val="00DA1306"/>
    <w:rsid w:val="00DA16DC"/>
    <w:rsid w:val="00DA1FE5"/>
    <w:rsid w:val="00DA5D6D"/>
    <w:rsid w:val="00DA74DE"/>
    <w:rsid w:val="00DB1625"/>
    <w:rsid w:val="00DB16EB"/>
    <w:rsid w:val="00DB259E"/>
    <w:rsid w:val="00DB3D9A"/>
    <w:rsid w:val="00DB4018"/>
    <w:rsid w:val="00DB4B0C"/>
    <w:rsid w:val="00DB4FE0"/>
    <w:rsid w:val="00DB56E4"/>
    <w:rsid w:val="00DB582C"/>
    <w:rsid w:val="00DB5B0A"/>
    <w:rsid w:val="00DB5BFA"/>
    <w:rsid w:val="00DB68C6"/>
    <w:rsid w:val="00DC192E"/>
    <w:rsid w:val="00DC1CC0"/>
    <w:rsid w:val="00DC2D4C"/>
    <w:rsid w:val="00DC2ECC"/>
    <w:rsid w:val="00DC3022"/>
    <w:rsid w:val="00DC459A"/>
    <w:rsid w:val="00DC6B35"/>
    <w:rsid w:val="00DC7192"/>
    <w:rsid w:val="00DD01F2"/>
    <w:rsid w:val="00DD03EA"/>
    <w:rsid w:val="00DD0C2B"/>
    <w:rsid w:val="00DD18AF"/>
    <w:rsid w:val="00DD2130"/>
    <w:rsid w:val="00DD3207"/>
    <w:rsid w:val="00DD344D"/>
    <w:rsid w:val="00DD3A94"/>
    <w:rsid w:val="00DD48EC"/>
    <w:rsid w:val="00DE15F4"/>
    <w:rsid w:val="00DE3609"/>
    <w:rsid w:val="00DE3A27"/>
    <w:rsid w:val="00DE5390"/>
    <w:rsid w:val="00DE6187"/>
    <w:rsid w:val="00DE6C4E"/>
    <w:rsid w:val="00DF0889"/>
    <w:rsid w:val="00DF1E5B"/>
    <w:rsid w:val="00DF2DC9"/>
    <w:rsid w:val="00DF2DDA"/>
    <w:rsid w:val="00DF390E"/>
    <w:rsid w:val="00DF4804"/>
    <w:rsid w:val="00DF4B72"/>
    <w:rsid w:val="00DF4D2A"/>
    <w:rsid w:val="00DF4E25"/>
    <w:rsid w:val="00E00330"/>
    <w:rsid w:val="00E00559"/>
    <w:rsid w:val="00E00568"/>
    <w:rsid w:val="00E01405"/>
    <w:rsid w:val="00E02175"/>
    <w:rsid w:val="00E024A3"/>
    <w:rsid w:val="00E03372"/>
    <w:rsid w:val="00E04DC3"/>
    <w:rsid w:val="00E052D3"/>
    <w:rsid w:val="00E11462"/>
    <w:rsid w:val="00E1258B"/>
    <w:rsid w:val="00E130C6"/>
    <w:rsid w:val="00E131CE"/>
    <w:rsid w:val="00E141D1"/>
    <w:rsid w:val="00E15B24"/>
    <w:rsid w:val="00E17183"/>
    <w:rsid w:val="00E20451"/>
    <w:rsid w:val="00E20853"/>
    <w:rsid w:val="00E20DDD"/>
    <w:rsid w:val="00E211E7"/>
    <w:rsid w:val="00E2138A"/>
    <w:rsid w:val="00E2162E"/>
    <w:rsid w:val="00E216E5"/>
    <w:rsid w:val="00E22660"/>
    <w:rsid w:val="00E22792"/>
    <w:rsid w:val="00E23578"/>
    <w:rsid w:val="00E2357F"/>
    <w:rsid w:val="00E23A89"/>
    <w:rsid w:val="00E23DFA"/>
    <w:rsid w:val="00E24BD3"/>
    <w:rsid w:val="00E25422"/>
    <w:rsid w:val="00E25E40"/>
    <w:rsid w:val="00E26026"/>
    <w:rsid w:val="00E30EA6"/>
    <w:rsid w:val="00E3126D"/>
    <w:rsid w:val="00E326DE"/>
    <w:rsid w:val="00E32FF8"/>
    <w:rsid w:val="00E33884"/>
    <w:rsid w:val="00E33C4B"/>
    <w:rsid w:val="00E33CFD"/>
    <w:rsid w:val="00E3449F"/>
    <w:rsid w:val="00E34713"/>
    <w:rsid w:val="00E34A16"/>
    <w:rsid w:val="00E34B15"/>
    <w:rsid w:val="00E3642C"/>
    <w:rsid w:val="00E364D1"/>
    <w:rsid w:val="00E366B7"/>
    <w:rsid w:val="00E40D08"/>
    <w:rsid w:val="00E4249B"/>
    <w:rsid w:val="00E424D3"/>
    <w:rsid w:val="00E430BF"/>
    <w:rsid w:val="00E431BD"/>
    <w:rsid w:val="00E43314"/>
    <w:rsid w:val="00E43DAF"/>
    <w:rsid w:val="00E44A6F"/>
    <w:rsid w:val="00E44E01"/>
    <w:rsid w:val="00E46811"/>
    <w:rsid w:val="00E4703F"/>
    <w:rsid w:val="00E50B32"/>
    <w:rsid w:val="00E50DAC"/>
    <w:rsid w:val="00E51182"/>
    <w:rsid w:val="00E51473"/>
    <w:rsid w:val="00E524A1"/>
    <w:rsid w:val="00E530FB"/>
    <w:rsid w:val="00E53AE4"/>
    <w:rsid w:val="00E54904"/>
    <w:rsid w:val="00E55076"/>
    <w:rsid w:val="00E55701"/>
    <w:rsid w:val="00E56E77"/>
    <w:rsid w:val="00E6017A"/>
    <w:rsid w:val="00E63435"/>
    <w:rsid w:val="00E64190"/>
    <w:rsid w:val="00E65092"/>
    <w:rsid w:val="00E6524B"/>
    <w:rsid w:val="00E66906"/>
    <w:rsid w:val="00E67285"/>
    <w:rsid w:val="00E672B6"/>
    <w:rsid w:val="00E674FC"/>
    <w:rsid w:val="00E70E31"/>
    <w:rsid w:val="00E71156"/>
    <w:rsid w:val="00E71FAA"/>
    <w:rsid w:val="00E72142"/>
    <w:rsid w:val="00E726FF"/>
    <w:rsid w:val="00E7337A"/>
    <w:rsid w:val="00E748FC"/>
    <w:rsid w:val="00E74980"/>
    <w:rsid w:val="00E763DF"/>
    <w:rsid w:val="00E76F36"/>
    <w:rsid w:val="00E77E5D"/>
    <w:rsid w:val="00E8067E"/>
    <w:rsid w:val="00E81344"/>
    <w:rsid w:val="00E82003"/>
    <w:rsid w:val="00E82827"/>
    <w:rsid w:val="00E82B39"/>
    <w:rsid w:val="00E83591"/>
    <w:rsid w:val="00E84081"/>
    <w:rsid w:val="00E86619"/>
    <w:rsid w:val="00E872E5"/>
    <w:rsid w:val="00E90722"/>
    <w:rsid w:val="00E90F47"/>
    <w:rsid w:val="00E94529"/>
    <w:rsid w:val="00E948D6"/>
    <w:rsid w:val="00E9544F"/>
    <w:rsid w:val="00E960E2"/>
    <w:rsid w:val="00E9656F"/>
    <w:rsid w:val="00E9724B"/>
    <w:rsid w:val="00E9725D"/>
    <w:rsid w:val="00E97A61"/>
    <w:rsid w:val="00E97B1A"/>
    <w:rsid w:val="00EA048F"/>
    <w:rsid w:val="00EA2189"/>
    <w:rsid w:val="00EA36FA"/>
    <w:rsid w:val="00EA375E"/>
    <w:rsid w:val="00EA3F4C"/>
    <w:rsid w:val="00EA427C"/>
    <w:rsid w:val="00EA6661"/>
    <w:rsid w:val="00EA6797"/>
    <w:rsid w:val="00EA6D74"/>
    <w:rsid w:val="00EB112F"/>
    <w:rsid w:val="00EB203E"/>
    <w:rsid w:val="00EB3A8E"/>
    <w:rsid w:val="00EB402F"/>
    <w:rsid w:val="00EB441A"/>
    <w:rsid w:val="00EB44D7"/>
    <w:rsid w:val="00EB4541"/>
    <w:rsid w:val="00EB4553"/>
    <w:rsid w:val="00EB5DC8"/>
    <w:rsid w:val="00EB5E97"/>
    <w:rsid w:val="00EB61EF"/>
    <w:rsid w:val="00EB7E3C"/>
    <w:rsid w:val="00EC2399"/>
    <w:rsid w:val="00EC2D1A"/>
    <w:rsid w:val="00EC2F39"/>
    <w:rsid w:val="00EC35DF"/>
    <w:rsid w:val="00EC3CAE"/>
    <w:rsid w:val="00EC671E"/>
    <w:rsid w:val="00EC683A"/>
    <w:rsid w:val="00EC75E0"/>
    <w:rsid w:val="00ED1835"/>
    <w:rsid w:val="00ED1AB6"/>
    <w:rsid w:val="00ED2AA2"/>
    <w:rsid w:val="00ED2BE2"/>
    <w:rsid w:val="00ED3FDB"/>
    <w:rsid w:val="00ED4C7A"/>
    <w:rsid w:val="00ED4C86"/>
    <w:rsid w:val="00ED4FBB"/>
    <w:rsid w:val="00ED5690"/>
    <w:rsid w:val="00ED7101"/>
    <w:rsid w:val="00ED7509"/>
    <w:rsid w:val="00EE0B70"/>
    <w:rsid w:val="00EE0FBB"/>
    <w:rsid w:val="00EE187F"/>
    <w:rsid w:val="00EE1B90"/>
    <w:rsid w:val="00EE1C5F"/>
    <w:rsid w:val="00EE1E0E"/>
    <w:rsid w:val="00EE2130"/>
    <w:rsid w:val="00EE32E4"/>
    <w:rsid w:val="00EE4700"/>
    <w:rsid w:val="00EE659D"/>
    <w:rsid w:val="00EF0136"/>
    <w:rsid w:val="00EF061A"/>
    <w:rsid w:val="00EF0659"/>
    <w:rsid w:val="00EF324E"/>
    <w:rsid w:val="00EF32F7"/>
    <w:rsid w:val="00EF3A24"/>
    <w:rsid w:val="00EF3E9E"/>
    <w:rsid w:val="00EF589C"/>
    <w:rsid w:val="00EF6839"/>
    <w:rsid w:val="00F001BF"/>
    <w:rsid w:val="00F01A31"/>
    <w:rsid w:val="00F0272F"/>
    <w:rsid w:val="00F02B6C"/>
    <w:rsid w:val="00F03960"/>
    <w:rsid w:val="00F04AC7"/>
    <w:rsid w:val="00F052B6"/>
    <w:rsid w:val="00F06188"/>
    <w:rsid w:val="00F06749"/>
    <w:rsid w:val="00F070C5"/>
    <w:rsid w:val="00F0745C"/>
    <w:rsid w:val="00F076B8"/>
    <w:rsid w:val="00F07C95"/>
    <w:rsid w:val="00F07E6A"/>
    <w:rsid w:val="00F10A0D"/>
    <w:rsid w:val="00F12D74"/>
    <w:rsid w:val="00F13094"/>
    <w:rsid w:val="00F14D95"/>
    <w:rsid w:val="00F15054"/>
    <w:rsid w:val="00F16090"/>
    <w:rsid w:val="00F164BC"/>
    <w:rsid w:val="00F16794"/>
    <w:rsid w:val="00F178BE"/>
    <w:rsid w:val="00F17DEC"/>
    <w:rsid w:val="00F2024E"/>
    <w:rsid w:val="00F215DA"/>
    <w:rsid w:val="00F216FF"/>
    <w:rsid w:val="00F21765"/>
    <w:rsid w:val="00F21DC4"/>
    <w:rsid w:val="00F23417"/>
    <w:rsid w:val="00F23AEF"/>
    <w:rsid w:val="00F23BCD"/>
    <w:rsid w:val="00F243B9"/>
    <w:rsid w:val="00F2442B"/>
    <w:rsid w:val="00F24F19"/>
    <w:rsid w:val="00F26234"/>
    <w:rsid w:val="00F26442"/>
    <w:rsid w:val="00F27803"/>
    <w:rsid w:val="00F30E42"/>
    <w:rsid w:val="00F31F7F"/>
    <w:rsid w:val="00F32B6C"/>
    <w:rsid w:val="00F350EE"/>
    <w:rsid w:val="00F373EE"/>
    <w:rsid w:val="00F377F4"/>
    <w:rsid w:val="00F3786C"/>
    <w:rsid w:val="00F43580"/>
    <w:rsid w:val="00F4460B"/>
    <w:rsid w:val="00F4584B"/>
    <w:rsid w:val="00F45A20"/>
    <w:rsid w:val="00F47256"/>
    <w:rsid w:val="00F47D38"/>
    <w:rsid w:val="00F51D61"/>
    <w:rsid w:val="00F52DE4"/>
    <w:rsid w:val="00F52EE2"/>
    <w:rsid w:val="00F52F1D"/>
    <w:rsid w:val="00F536B1"/>
    <w:rsid w:val="00F545AA"/>
    <w:rsid w:val="00F565C4"/>
    <w:rsid w:val="00F56B55"/>
    <w:rsid w:val="00F57174"/>
    <w:rsid w:val="00F57729"/>
    <w:rsid w:val="00F60AF2"/>
    <w:rsid w:val="00F61403"/>
    <w:rsid w:val="00F62E3F"/>
    <w:rsid w:val="00F64C89"/>
    <w:rsid w:val="00F65025"/>
    <w:rsid w:val="00F65235"/>
    <w:rsid w:val="00F657B0"/>
    <w:rsid w:val="00F6631B"/>
    <w:rsid w:val="00F66B2F"/>
    <w:rsid w:val="00F67B73"/>
    <w:rsid w:val="00F7026C"/>
    <w:rsid w:val="00F704DD"/>
    <w:rsid w:val="00F70844"/>
    <w:rsid w:val="00F7168A"/>
    <w:rsid w:val="00F71A94"/>
    <w:rsid w:val="00F74046"/>
    <w:rsid w:val="00F740B3"/>
    <w:rsid w:val="00F74C7D"/>
    <w:rsid w:val="00F74D84"/>
    <w:rsid w:val="00F75E1C"/>
    <w:rsid w:val="00F77591"/>
    <w:rsid w:val="00F77CEF"/>
    <w:rsid w:val="00F803F2"/>
    <w:rsid w:val="00F81052"/>
    <w:rsid w:val="00F8342A"/>
    <w:rsid w:val="00F83A5A"/>
    <w:rsid w:val="00F8578E"/>
    <w:rsid w:val="00F85878"/>
    <w:rsid w:val="00F86B16"/>
    <w:rsid w:val="00F87923"/>
    <w:rsid w:val="00F87A67"/>
    <w:rsid w:val="00F87CAD"/>
    <w:rsid w:val="00F90DFA"/>
    <w:rsid w:val="00F91339"/>
    <w:rsid w:val="00F91716"/>
    <w:rsid w:val="00F93457"/>
    <w:rsid w:val="00F9457F"/>
    <w:rsid w:val="00F94C0E"/>
    <w:rsid w:val="00F94D4B"/>
    <w:rsid w:val="00F95A93"/>
    <w:rsid w:val="00F960FC"/>
    <w:rsid w:val="00F96208"/>
    <w:rsid w:val="00F96944"/>
    <w:rsid w:val="00F96C08"/>
    <w:rsid w:val="00F97A0C"/>
    <w:rsid w:val="00FA173C"/>
    <w:rsid w:val="00FA2A4A"/>
    <w:rsid w:val="00FA3E1F"/>
    <w:rsid w:val="00FA3F17"/>
    <w:rsid w:val="00FA3F7E"/>
    <w:rsid w:val="00FA40CC"/>
    <w:rsid w:val="00FA432F"/>
    <w:rsid w:val="00FA4FB4"/>
    <w:rsid w:val="00FA6768"/>
    <w:rsid w:val="00FB01B1"/>
    <w:rsid w:val="00FB0AE4"/>
    <w:rsid w:val="00FB0FA7"/>
    <w:rsid w:val="00FB12B1"/>
    <w:rsid w:val="00FB1934"/>
    <w:rsid w:val="00FB2825"/>
    <w:rsid w:val="00FB28D1"/>
    <w:rsid w:val="00FB2990"/>
    <w:rsid w:val="00FB2A9D"/>
    <w:rsid w:val="00FB3699"/>
    <w:rsid w:val="00FB5B51"/>
    <w:rsid w:val="00FB6510"/>
    <w:rsid w:val="00FB6FC5"/>
    <w:rsid w:val="00FC10A8"/>
    <w:rsid w:val="00FC48E4"/>
    <w:rsid w:val="00FC4B3C"/>
    <w:rsid w:val="00FC5E27"/>
    <w:rsid w:val="00FC65B9"/>
    <w:rsid w:val="00FC6BD8"/>
    <w:rsid w:val="00FC6C06"/>
    <w:rsid w:val="00FC70CE"/>
    <w:rsid w:val="00FC7690"/>
    <w:rsid w:val="00FD04E8"/>
    <w:rsid w:val="00FD067F"/>
    <w:rsid w:val="00FD25C6"/>
    <w:rsid w:val="00FD2953"/>
    <w:rsid w:val="00FD381F"/>
    <w:rsid w:val="00FD3EC5"/>
    <w:rsid w:val="00FD40F2"/>
    <w:rsid w:val="00FD4B69"/>
    <w:rsid w:val="00FD5B8A"/>
    <w:rsid w:val="00FD5CA6"/>
    <w:rsid w:val="00FD69C6"/>
    <w:rsid w:val="00FD6DF4"/>
    <w:rsid w:val="00FD7193"/>
    <w:rsid w:val="00FD78F0"/>
    <w:rsid w:val="00FE08A9"/>
    <w:rsid w:val="00FE0C1A"/>
    <w:rsid w:val="00FE1367"/>
    <w:rsid w:val="00FE183E"/>
    <w:rsid w:val="00FE2B42"/>
    <w:rsid w:val="00FE2D13"/>
    <w:rsid w:val="00FE334C"/>
    <w:rsid w:val="00FE3925"/>
    <w:rsid w:val="00FE4FA8"/>
    <w:rsid w:val="00FE5846"/>
    <w:rsid w:val="00FE6272"/>
    <w:rsid w:val="00FE6AAE"/>
    <w:rsid w:val="00FE6BE3"/>
    <w:rsid w:val="00FF035E"/>
    <w:rsid w:val="00FF0A7C"/>
    <w:rsid w:val="00FF0AF0"/>
    <w:rsid w:val="00FF1BCD"/>
    <w:rsid w:val="00FF1DFF"/>
    <w:rsid w:val="00FF1EC5"/>
    <w:rsid w:val="00FF33C3"/>
    <w:rsid w:val="00FF36BA"/>
    <w:rsid w:val="00FF3787"/>
    <w:rsid w:val="00FF3AA5"/>
    <w:rsid w:val="00FF3E87"/>
    <w:rsid w:val="00FF3FF4"/>
    <w:rsid w:val="00FF4BF7"/>
    <w:rsid w:val="00FF6B7C"/>
    <w:rsid w:val="00FF7265"/>
    <w:rsid w:val="00FF7285"/>
    <w:rsid w:val="2D5C0FBD"/>
    <w:rsid w:val="5A01A8BE"/>
    <w:rsid w:val="5B0FF17D"/>
    <w:rsid w:val="7CAC5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0B7880"/>
  <w14:defaultImageDpi w14:val="96"/>
  <w15:docId w15:val="{E2325B24-C3DB-4EFE-BE73-133862A0E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nl-NL" w:eastAsia="nl-NL"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0 standaard"/>
    <w:qFormat/>
    <w:rsid w:val="007B74D9"/>
    <w:rPr>
      <w:rFonts w:ascii="Trebuchet MS" w:hAnsi="Trebuchet MS" w:cs="Times New Roman"/>
      <w:sz w:val="20"/>
      <w:lang w:val="en-US" w:eastAsia="en-US"/>
    </w:rPr>
  </w:style>
  <w:style w:type="paragraph" w:styleId="Heading10">
    <w:name w:val="heading 1"/>
    <w:basedOn w:val="Normal"/>
    <w:next w:val="Normal"/>
    <w:link w:val="Heading1Char"/>
    <w:uiPriority w:val="9"/>
    <w:qFormat/>
    <w:rsid w:val="006E5153"/>
    <w:pPr>
      <w:keepNext/>
      <w:keepLines/>
      <w:spacing w:before="360"/>
      <w:outlineLvl w:val="0"/>
    </w:pPr>
    <w:rPr>
      <w:rFonts w:eastAsiaTheme="majorEastAsia"/>
      <w:b/>
      <w:color w:val="ED1A3B"/>
      <w:sz w:val="24"/>
      <w:szCs w:val="32"/>
    </w:rPr>
  </w:style>
  <w:style w:type="paragraph" w:styleId="Heading20">
    <w:name w:val="heading 2"/>
    <w:basedOn w:val="Normal"/>
    <w:next w:val="Normal"/>
    <w:link w:val="Heading2Char"/>
    <w:uiPriority w:val="9"/>
    <w:unhideWhenUsed/>
    <w:qFormat/>
    <w:rsid w:val="00A91C36"/>
    <w:pPr>
      <w:keepNext/>
      <w:keepLines/>
      <w:spacing w:before="40"/>
      <w:outlineLvl w:val="1"/>
    </w:pPr>
    <w:rPr>
      <w:rFonts w:eastAsiaTheme="majorEastAsia"/>
      <w:color w:val="017BA9" w:themeColor="accent1" w:themeShade="BF"/>
      <w:szCs w:val="26"/>
    </w:rPr>
  </w:style>
  <w:style w:type="paragraph" w:styleId="Heading3">
    <w:name w:val="heading 3"/>
    <w:basedOn w:val="Normal"/>
    <w:next w:val="Normal"/>
    <w:link w:val="Heading3Char"/>
    <w:uiPriority w:val="9"/>
    <w:unhideWhenUsed/>
    <w:qFormat/>
    <w:rsid w:val="001578CF"/>
    <w:pPr>
      <w:keepNext/>
      <w:keepLines/>
      <w:spacing w:before="40"/>
      <w:outlineLvl w:val="2"/>
    </w:pPr>
    <w:rPr>
      <w:rFonts w:asciiTheme="majorHAnsi" w:eastAsiaTheme="majorEastAsia" w:hAnsiTheme="majorHAnsi"/>
      <w:color w:val="015170" w:themeColor="accent1" w:themeShade="7F"/>
      <w:sz w:val="24"/>
      <w:szCs w:val="24"/>
    </w:rPr>
  </w:style>
  <w:style w:type="paragraph" w:styleId="Heading4">
    <w:name w:val="heading 4"/>
    <w:basedOn w:val="Normal"/>
    <w:next w:val="Normal"/>
    <w:link w:val="Heading4Char"/>
    <w:uiPriority w:val="9"/>
    <w:unhideWhenUsed/>
    <w:qFormat/>
    <w:rsid w:val="001578CF"/>
    <w:pPr>
      <w:keepNext/>
      <w:keepLines/>
      <w:spacing w:before="40"/>
      <w:outlineLvl w:val="3"/>
    </w:pPr>
    <w:rPr>
      <w:rFonts w:asciiTheme="majorHAnsi" w:eastAsiaTheme="majorEastAsia" w:hAnsiTheme="majorHAnsi"/>
      <w:i/>
      <w:iCs/>
      <w:color w:val="017BA9" w:themeColor="accent1" w:themeShade="BF"/>
    </w:rPr>
  </w:style>
  <w:style w:type="paragraph" w:styleId="Heading5">
    <w:name w:val="heading 5"/>
    <w:basedOn w:val="Normal"/>
    <w:next w:val="Normal"/>
    <w:link w:val="Heading5Char"/>
    <w:uiPriority w:val="9"/>
    <w:unhideWhenUsed/>
    <w:qFormat/>
    <w:rsid w:val="001578CF"/>
    <w:pPr>
      <w:keepNext/>
      <w:keepLines/>
      <w:spacing w:before="40"/>
      <w:outlineLvl w:val="4"/>
    </w:pPr>
    <w:rPr>
      <w:rFonts w:asciiTheme="majorHAnsi" w:eastAsiaTheme="majorEastAsia" w:hAnsiTheme="majorHAnsi"/>
      <w:color w:val="017BA9" w:themeColor="accent1" w:themeShade="BF"/>
    </w:rPr>
  </w:style>
  <w:style w:type="paragraph" w:styleId="Heading6">
    <w:name w:val="heading 6"/>
    <w:basedOn w:val="Normal"/>
    <w:next w:val="Normal"/>
    <w:link w:val="Heading6Char"/>
    <w:uiPriority w:val="99"/>
    <w:qFormat/>
    <w:rsid w:val="001578CF"/>
    <w:pPr>
      <w:tabs>
        <w:tab w:val="num" w:pos="3960"/>
      </w:tabs>
      <w:ind w:left="3600"/>
      <w:jc w:val="both"/>
      <w:outlineLvl w:val="5"/>
    </w:pPr>
    <w:rPr>
      <w:kern w:val="16"/>
      <w:sz w:val="24"/>
      <w:szCs w:val="20"/>
      <w:lang w:val="en-GB" w:eastAsia="en-GB"/>
    </w:rPr>
  </w:style>
  <w:style w:type="paragraph" w:styleId="Heading7">
    <w:name w:val="heading 7"/>
    <w:basedOn w:val="Normal"/>
    <w:next w:val="Normal"/>
    <w:link w:val="Heading7Char"/>
    <w:uiPriority w:val="99"/>
    <w:qFormat/>
    <w:rsid w:val="001578CF"/>
    <w:pPr>
      <w:tabs>
        <w:tab w:val="num" w:pos="4680"/>
      </w:tabs>
      <w:ind w:left="4320"/>
      <w:jc w:val="both"/>
      <w:outlineLvl w:val="6"/>
    </w:pPr>
    <w:rPr>
      <w:kern w:val="16"/>
      <w:sz w:val="24"/>
      <w:szCs w:val="20"/>
      <w:lang w:val="en-GB" w:eastAsia="en-GB"/>
    </w:rPr>
  </w:style>
  <w:style w:type="paragraph" w:styleId="Heading8">
    <w:name w:val="heading 8"/>
    <w:basedOn w:val="Normal"/>
    <w:next w:val="Normal"/>
    <w:link w:val="Heading8Char"/>
    <w:uiPriority w:val="99"/>
    <w:qFormat/>
    <w:rsid w:val="001578CF"/>
    <w:pPr>
      <w:tabs>
        <w:tab w:val="num" w:pos="5400"/>
      </w:tabs>
      <w:ind w:left="5040"/>
      <w:jc w:val="both"/>
      <w:outlineLvl w:val="7"/>
    </w:pPr>
    <w:rPr>
      <w:kern w:val="16"/>
      <w:sz w:val="24"/>
      <w:szCs w:val="20"/>
      <w:lang w:val="en-GB" w:eastAsia="en-GB"/>
    </w:rPr>
  </w:style>
  <w:style w:type="paragraph" w:styleId="Heading9">
    <w:name w:val="heading 9"/>
    <w:basedOn w:val="Normal"/>
    <w:next w:val="Normal"/>
    <w:link w:val="Heading9Char"/>
    <w:uiPriority w:val="99"/>
    <w:qFormat/>
    <w:rsid w:val="001578CF"/>
    <w:pPr>
      <w:tabs>
        <w:tab w:val="num" w:pos="6120"/>
      </w:tabs>
      <w:ind w:left="5760"/>
      <w:jc w:val="both"/>
      <w:outlineLvl w:val="8"/>
    </w:pPr>
    <w:rPr>
      <w:kern w:val="16"/>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locked/>
    <w:rsid w:val="006E5153"/>
    <w:rPr>
      <w:rFonts w:ascii="Trebuchet MS" w:eastAsiaTheme="majorEastAsia" w:hAnsi="Trebuchet MS" w:cs="Times New Roman"/>
      <w:b/>
      <w:color w:val="ED1A3B"/>
      <w:sz w:val="24"/>
      <w:szCs w:val="32"/>
      <w:lang w:val="en-US" w:eastAsia="en-US"/>
    </w:rPr>
  </w:style>
  <w:style w:type="character" w:customStyle="1" w:styleId="Heading2Char">
    <w:name w:val="Heading 2 Char"/>
    <w:basedOn w:val="DefaultParagraphFont"/>
    <w:link w:val="Heading20"/>
    <w:uiPriority w:val="9"/>
    <w:locked/>
    <w:rsid w:val="00A91C36"/>
    <w:rPr>
      <w:rFonts w:ascii="Trebuchet MS" w:eastAsiaTheme="majorEastAsia" w:hAnsi="Trebuchet MS" w:cs="Times New Roman"/>
      <w:color w:val="017BA9" w:themeColor="accent1" w:themeShade="BF"/>
      <w:sz w:val="20"/>
      <w:szCs w:val="26"/>
      <w:lang w:val="en-US" w:eastAsia="en-US"/>
    </w:rPr>
  </w:style>
  <w:style w:type="character" w:customStyle="1" w:styleId="Heading3Char">
    <w:name w:val="Heading 3 Char"/>
    <w:basedOn w:val="DefaultParagraphFont"/>
    <w:link w:val="Heading3"/>
    <w:uiPriority w:val="9"/>
    <w:locked/>
    <w:rsid w:val="001578CF"/>
    <w:rPr>
      <w:rFonts w:asciiTheme="majorHAnsi" w:eastAsiaTheme="majorEastAsia" w:hAnsiTheme="majorHAnsi" w:cs="Times New Roman"/>
      <w:color w:val="015170" w:themeColor="accent1" w:themeShade="7F"/>
      <w:sz w:val="24"/>
      <w:szCs w:val="24"/>
    </w:rPr>
  </w:style>
  <w:style w:type="character" w:customStyle="1" w:styleId="Heading4Char">
    <w:name w:val="Heading 4 Char"/>
    <w:basedOn w:val="DefaultParagraphFont"/>
    <w:link w:val="Heading4"/>
    <w:uiPriority w:val="9"/>
    <w:locked/>
    <w:rsid w:val="001578CF"/>
    <w:rPr>
      <w:rFonts w:asciiTheme="majorHAnsi" w:eastAsiaTheme="majorEastAsia" w:hAnsiTheme="majorHAnsi" w:cs="Times New Roman"/>
      <w:i/>
      <w:iCs/>
      <w:color w:val="017BA9" w:themeColor="accent1" w:themeShade="BF"/>
      <w:sz w:val="20"/>
    </w:rPr>
  </w:style>
  <w:style w:type="character" w:customStyle="1" w:styleId="Heading5Char">
    <w:name w:val="Heading 5 Char"/>
    <w:basedOn w:val="DefaultParagraphFont"/>
    <w:link w:val="Heading5"/>
    <w:uiPriority w:val="9"/>
    <w:semiHidden/>
    <w:locked/>
    <w:rsid w:val="001578CF"/>
    <w:rPr>
      <w:rFonts w:asciiTheme="majorHAnsi" w:eastAsiaTheme="majorEastAsia" w:hAnsiTheme="majorHAnsi" w:cs="Times New Roman"/>
      <w:color w:val="017BA9" w:themeColor="accent1" w:themeShade="BF"/>
      <w:sz w:val="20"/>
    </w:rPr>
  </w:style>
  <w:style w:type="character" w:customStyle="1" w:styleId="Heading6Char">
    <w:name w:val="Heading 6 Char"/>
    <w:basedOn w:val="DefaultParagraphFont"/>
    <w:link w:val="Heading6"/>
    <w:uiPriority w:val="99"/>
    <w:locked/>
    <w:rsid w:val="001578CF"/>
    <w:rPr>
      <w:rFonts w:ascii="Trebuchet MS" w:hAnsi="Trebuchet MS" w:cs="Times New Roman"/>
      <w:kern w:val="16"/>
      <w:sz w:val="20"/>
      <w:szCs w:val="20"/>
      <w:lang w:val="en-GB" w:eastAsia="en-GB"/>
    </w:rPr>
  </w:style>
  <w:style w:type="character" w:customStyle="1" w:styleId="Heading7Char">
    <w:name w:val="Heading 7 Char"/>
    <w:basedOn w:val="DefaultParagraphFont"/>
    <w:link w:val="Heading7"/>
    <w:uiPriority w:val="99"/>
    <w:locked/>
    <w:rsid w:val="001578CF"/>
    <w:rPr>
      <w:rFonts w:ascii="Trebuchet MS" w:hAnsi="Trebuchet MS" w:cs="Times New Roman"/>
      <w:kern w:val="16"/>
      <w:sz w:val="20"/>
      <w:szCs w:val="20"/>
      <w:lang w:val="en-GB" w:eastAsia="en-GB"/>
    </w:rPr>
  </w:style>
  <w:style w:type="character" w:customStyle="1" w:styleId="Heading8Char">
    <w:name w:val="Heading 8 Char"/>
    <w:basedOn w:val="DefaultParagraphFont"/>
    <w:link w:val="Heading8"/>
    <w:uiPriority w:val="99"/>
    <w:locked/>
    <w:rsid w:val="001578CF"/>
    <w:rPr>
      <w:rFonts w:ascii="Trebuchet MS" w:hAnsi="Trebuchet MS" w:cs="Times New Roman"/>
      <w:kern w:val="16"/>
      <w:sz w:val="20"/>
      <w:szCs w:val="20"/>
      <w:lang w:val="en-GB" w:eastAsia="en-GB"/>
    </w:rPr>
  </w:style>
  <w:style w:type="character" w:customStyle="1" w:styleId="Heading9Char">
    <w:name w:val="Heading 9 Char"/>
    <w:basedOn w:val="DefaultParagraphFont"/>
    <w:link w:val="Heading9"/>
    <w:uiPriority w:val="99"/>
    <w:locked/>
    <w:rsid w:val="001578CF"/>
    <w:rPr>
      <w:rFonts w:ascii="Trebuchet MS" w:hAnsi="Trebuchet MS" w:cs="Times New Roman"/>
      <w:kern w:val="16"/>
      <w:sz w:val="20"/>
      <w:szCs w:val="20"/>
      <w:lang w:val="en-GB" w:eastAsia="en-GB"/>
    </w:rPr>
  </w:style>
  <w:style w:type="paragraph" w:customStyle="1" w:styleId="1kopBDO">
    <w:name w:val="1 kop BDO"/>
    <w:basedOn w:val="Normal"/>
    <w:next w:val="Normal"/>
    <w:qFormat/>
    <w:rsid w:val="001A4874"/>
    <w:pPr>
      <w:numPr>
        <w:numId w:val="1"/>
      </w:numPr>
      <w:outlineLvl w:val="0"/>
    </w:pPr>
    <w:rPr>
      <w:rFonts w:ascii="Trebuchet MS Vet" w:hAnsi="Trebuchet MS Vet"/>
      <w:b/>
      <w:caps/>
      <w:color w:val="218F8B"/>
      <w:sz w:val="40"/>
      <w:szCs w:val="40"/>
    </w:rPr>
  </w:style>
  <w:style w:type="paragraph" w:customStyle="1" w:styleId="2kopBDO">
    <w:name w:val="2 kop BDO"/>
    <w:basedOn w:val="Normal"/>
    <w:next w:val="Normal"/>
    <w:qFormat/>
    <w:rsid w:val="00FF7285"/>
    <w:pPr>
      <w:outlineLvl w:val="1"/>
    </w:pPr>
    <w:rPr>
      <w:rFonts w:ascii="Trebuchet MS Vet" w:hAnsi="Trebuchet MS Vet"/>
      <w:b/>
      <w:caps/>
      <w:color w:val="02A5E2" w:themeColor="accent1"/>
      <w:sz w:val="32"/>
      <w:szCs w:val="20"/>
    </w:rPr>
  </w:style>
  <w:style w:type="paragraph" w:customStyle="1" w:styleId="3kopBDO">
    <w:name w:val="3 kop BDO"/>
    <w:basedOn w:val="Normal"/>
    <w:next w:val="Normal"/>
    <w:qFormat/>
    <w:rsid w:val="00FE334C"/>
    <w:pPr>
      <w:outlineLvl w:val="2"/>
    </w:pPr>
    <w:rPr>
      <w:b/>
      <w:color w:val="ED1A3B" w:themeColor="text2"/>
      <w:sz w:val="24"/>
      <w:szCs w:val="20"/>
    </w:rPr>
  </w:style>
  <w:style w:type="paragraph" w:customStyle="1" w:styleId="Subtitel1">
    <w:name w:val="Subtitel 1"/>
    <w:basedOn w:val="Normal"/>
    <w:next w:val="Normal"/>
    <w:qFormat/>
    <w:rsid w:val="00BD3A74"/>
    <w:pPr>
      <w:ind w:left="720"/>
    </w:pPr>
    <w:rPr>
      <w:b/>
      <w:color w:val="02A5E2" w:themeColor="accent1"/>
      <w:szCs w:val="20"/>
    </w:rPr>
  </w:style>
  <w:style w:type="paragraph" w:customStyle="1" w:styleId="Subtitel2">
    <w:name w:val="Subtitel 2"/>
    <w:basedOn w:val="Normal"/>
    <w:next w:val="Normal"/>
    <w:qFormat/>
    <w:rsid w:val="00DB4B0C"/>
    <w:rPr>
      <w:b/>
      <w:i/>
      <w:color w:val="62CAE3"/>
      <w:szCs w:val="20"/>
    </w:rPr>
  </w:style>
  <w:style w:type="paragraph" w:customStyle="1" w:styleId="ZWKop1">
    <w:name w:val="ZW_Kop 1"/>
    <w:basedOn w:val="1kopBDO"/>
    <w:next w:val="Normal"/>
    <w:qFormat/>
    <w:rsid w:val="00A04A78"/>
    <w:pPr>
      <w:numPr>
        <w:numId w:val="2"/>
      </w:numPr>
    </w:pPr>
    <w:rPr>
      <w:color w:val="auto"/>
    </w:rPr>
  </w:style>
  <w:style w:type="paragraph" w:customStyle="1" w:styleId="ZWKop2">
    <w:name w:val="ZW_Kop 2"/>
    <w:basedOn w:val="2kopBDO"/>
    <w:qFormat/>
    <w:rsid w:val="00DB4B0C"/>
    <w:pPr>
      <w:ind w:left="360" w:hanging="360"/>
    </w:pPr>
    <w:rPr>
      <w:color w:val="auto"/>
    </w:rPr>
  </w:style>
  <w:style w:type="paragraph" w:customStyle="1" w:styleId="ZWKop3">
    <w:name w:val="ZW_Kop 3"/>
    <w:basedOn w:val="3kopBDO"/>
    <w:qFormat/>
    <w:rsid w:val="00DB4B0C"/>
    <w:pPr>
      <w:ind w:left="360" w:hanging="360"/>
    </w:pPr>
    <w:rPr>
      <w:color w:val="auto"/>
    </w:rPr>
  </w:style>
  <w:style w:type="paragraph" w:customStyle="1" w:styleId="ZWSubtitel">
    <w:name w:val="ZW_Subtitel"/>
    <w:basedOn w:val="Subtitel1"/>
    <w:qFormat/>
    <w:rsid w:val="00DB4B0C"/>
    <w:rPr>
      <w:color w:val="auto"/>
    </w:rPr>
  </w:style>
  <w:style w:type="paragraph" w:customStyle="1" w:styleId="ZWSubtitel2">
    <w:name w:val="ZW_Subtitel 2"/>
    <w:basedOn w:val="Subtitel2"/>
    <w:qFormat/>
    <w:rsid w:val="00DB4B0C"/>
    <w:rPr>
      <w:color w:val="auto"/>
    </w:rPr>
  </w:style>
  <w:style w:type="paragraph" w:styleId="Caption">
    <w:name w:val="caption"/>
    <w:aliases w:val="Picture - Caption"/>
    <w:basedOn w:val="Normal"/>
    <w:next w:val="Normal"/>
    <w:link w:val="CaptionChar"/>
    <w:uiPriority w:val="35"/>
    <w:unhideWhenUsed/>
    <w:qFormat/>
    <w:rsid w:val="00BD3A74"/>
    <w:pPr>
      <w:ind w:left="720"/>
      <w:jc w:val="center"/>
    </w:pPr>
    <w:rPr>
      <w:b/>
      <w:bCs/>
      <w:i/>
      <w:color w:val="657C91" w:themeColor="accent4"/>
      <w:sz w:val="16"/>
      <w:szCs w:val="18"/>
    </w:rPr>
  </w:style>
  <w:style w:type="paragraph" w:styleId="TOCHeading">
    <w:name w:val="TOC Heading"/>
    <w:basedOn w:val="Heading10"/>
    <w:next w:val="Normal"/>
    <w:uiPriority w:val="39"/>
    <w:unhideWhenUsed/>
    <w:qFormat/>
    <w:rsid w:val="00DB4B0C"/>
    <w:pPr>
      <w:spacing w:before="480"/>
      <w:outlineLvl w:val="9"/>
    </w:pPr>
    <w:rPr>
      <w:b w:val="0"/>
      <w:bCs/>
      <w:sz w:val="28"/>
      <w:szCs w:val="28"/>
    </w:rPr>
  </w:style>
  <w:style w:type="paragraph" w:styleId="TOC1">
    <w:name w:val="toc 1"/>
    <w:basedOn w:val="Normal"/>
    <w:next w:val="Normal"/>
    <w:autoRedefine/>
    <w:uiPriority w:val="39"/>
    <w:unhideWhenUsed/>
    <w:rsid w:val="00814E76"/>
    <w:pPr>
      <w:tabs>
        <w:tab w:val="left" w:pos="567"/>
        <w:tab w:val="right" w:leader="dot" w:pos="8786"/>
      </w:tabs>
      <w:spacing w:after="240"/>
      <w:ind w:left="720" w:hanging="720"/>
    </w:pPr>
    <w:rPr>
      <w:rFonts w:eastAsiaTheme="majorEastAsia"/>
      <w:b/>
      <w:noProof/>
    </w:rPr>
  </w:style>
  <w:style w:type="paragraph" w:styleId="BlockText">
    <w:name w:val="Block Text"/>
    <w:basedOn w:val="Normal"/>
    <w:uiPriority w:val="99"/>
    <w:rsid w:val="001578CF"/>
    <w:pPr>
      <w:ind w:left="1418" w:right="1418"/>
      <w:jc w:val="both"/>
    </w:pPr>
    <w:rPr>
      <w:kern w:val="16"/>
      <w:sz w:val="24"/>
      <w:szCs w:val="20"/>
      <w:lang w:val="en-GB" w:eastAsia="en-GB"/>
    </w:rPr>
  </w:style>
  <w:style w:type="paragraph" w:styleId="BodyText">
    <w:name w:val="Body Text"/>
    <w:basedOn w:val="NormalIndent"/>
    <w:link w:val="BodyTextChar"/>
    <w:uiPriority w:val="99"/>
    <w:rsid w:val="001578CF"/>
    <w:pPr>
      <w:spacing w:after="140" w:line="280" w:lineRule="atLeast"/>
    </w:pPr>
  </w:style>
  <w:style w:type="character" w:customStyle="1" w:styleId="BodyTextChar">
    <w:name w:val="Body Text Char"/>
    <w:basedOn w:val="DefaultParagraphFont"/>
    <w:link w:val="BodyText"/>
    <w:uiPriority w:val="99"/>
    <w:locked/>
    <w:rsid w:val="001578CF"/>
    <w:rPr>
      <w:rFonts w:ascii="Trebuchet MS" w:hAnsi="Trebuchet MS" w:cs="Times New Roman"/>
      <w:kern w:val="16"/>
      <w:sz w:val="20"/>
      <w:szCs w:val="20"/>
      <w:lang w:val="en-GB" w:eastAsia="en-GB"/>
    </w:rPr>
  </w:style>
  <w:style w:type="paragraph" w:styleId="BodyText3">
    <w:name w:val="Body Text 3"/>
    <w:basedOn w:val="Normal"/>
    <w:link w:val="BodyText3Char"/>
    <w:uiPriority w:val="99"/>
    <w:rsid w:val="001578CF"/>
    <w:pPr>
      <w:spacing w:after="140" w:line="280" w:lineRule="atLeast"/>
      <w:ind w:left="1518"/>
      <w:jc w:val="both"/>
    </w:pPr>
    <w:rPr>
      <w:kern w:val="16"/>
      <w:szCs w:val="20"/>
      <w:lang w:val="en-GB" w:eastAsia="en-GB"/>
    </w:rPr>
  </w:style>
  <w:style w:type="character" w:customStyle="1" w:styleId="BodyText3Char">
    <w:name w:val="Body Text 3 Char"/>
    <w:basedOn w:val="DefaultParagraphFont"/>
    <w:link w:val="BodyText3"/>
    <w:uiPriority w:val="99"/>
    <w:locked/>
    <w:rsid w:val="001578CF"/>
    <w:rPr>
      <w:rFonts w:ascii="Trebuchet MS" w:hAnsi="Trebuchet MS" w:cs="Times New Roman"/>
      <w:kern w:val="16"/>
      <w:sz w:val="20"/>
      <w:szCs w:val="20"/>
      <w:lang w:val="en-GB" w:eastAsia="en-GB"/>
    </w:rPr>
  </w:style>
  <w:style w:type="paragraph" w:styleId="EnvelopeAddress">
    <w:name w:val="envelope address"/>
    <w:basedOn w:val="Normal"/>
    <w:uiPriority w:val="99"/>
    <w:rsid w:val="001578CF"/>
    <w:pPr>
      <w:framePr w:w="7920" w:h="1980" w:hRule="exact" w:hSpace="180" w:wrap="auto" w:hAnchor="page" w:xAlign="center" w:yAlign="bottom"/>
      <w:ind w:left="2880"/>
      <w:jc w:val="both"/>
    </w:pPr>
    <w:rPr>
      <w:kern w:val="16"/>
      <w:sz w:val="24"/>
      <w:szCs w:val="20"/>
      <w:lang w:val="en-GB" w:eastAsia="en-GB"/>
    </w:rPr>
  </w:style>
  <w:style w:type="paragraph" w:styleId="EnvelopeReturn">
    <w:name w:val="envelope return"/>
    <w:basedOn w:val="Normal"/>
    <w:uiPriority w:val="99"/>
    <w:rsid w:val="001578CF"/>
    <w:pPr>
      <w:jc w:val="both"/>
    </w:pPr>
    <w:rPr>
      <w:kern w:val="16"/>
      <w:sz w:val="24"/>
      <w:szCs w:val="20"/>
      <w:lang w:val="en-GB" w:eastAsia="en-GB"/>
    </w:rPr>
  </w:style>
  <w:style w:type="paragraph" w:styleId="NormalIndent">
    <w:name w:val="Normal Indent"/>
    <w:basedOn w:val="Normal"/>
    <w:uiPriority w:val="99"/>
    <w:rsid w:val="001578CF"/>
    <w:pPr>
      <w:ind w:left="709"/>
      <w:jc w:val="both"/>
    </w:pPr>
    <w:rPr>
      <w:kern w:val="16"/>
      <w:szCs w:val="20"/>
      <w:lang w:val="en-GB" w:eastAsia="en-GB"/>
    </w:rPr>
  </w:style>
  <w:style w:type="paragraph" w:styleId="Index1">
    <w:name w:val="index 1"/>
    <w:basedOn w:val="Normal"/>
    <w:next w:val="Normal"/>
    <w:autoRedefine/>
    <w:uiPriority w:val="99"/>
    <w:semiHidden/>
    <w:rsid w:val="001578CF"/>
    <w:pPr>
      <w:ind w:left="240" w:hanging="240"/>
      <w:jc w:val="both"/>
    </w:pPr>
    <w:rPr>
      <w:kern w:val="16"/>
      <w:sz w:val="24"/>
      <w:szCs w:val="20"/>
      <w:lang w:val="en-GB" w:eastAsia="en-GB"/>
    </w:rPr>
  </w:style>
  <w:style w:type="paragraph" w:styleId="IndexHeading">
    <w:name w:val="index heading"/>
    <w:basedOn w:val="Normal"/>
    <w:next w:val="Index1"/>
    <w:uiPriority w:val="99"/>
    <w:semiHidden/>
    <w:rsid w:val="001578CF"/>
    <w:pPr>
      <w:jc w:val="both"/>
    </w:pPr>
    <w:rPr>
      <w:b/>
      <w:kern w:val="16"/>
      <w:sz w:val="24"/>
      <w:szCs w:val="20"/>
      <w:lang w:val="en-GB" w:eastAsia="en-GB"/>
    </w:rPr>
  </w:style>
  <w:style w:type="paragraph" w:styleId="MessageHeader">
    <w:name w:val="Message Header"/>
    <w:basedOn w:val="Normal"/>
    <w:link w:val="MessageHeaderChar"/>
    <w:uiPriority w:val="99"/>
    <w:rsid w:val="001578CF"/>
    <w:pPr>
      <w:pBdr>
        <w:top w:val="single" w:sz="6" w:space="1" w:color="auto"/>
        <w:left w:val="single" w:sz="6" w:space="1" w:color="auto"/>
        <w:bottom w:val="single" w:sz="6" w:space="1" w:color="auto"/>
        <w:right w:val="single" w:sz="6" w:space="1" w:color="auto"/>
      </w:pBdr>
      <w:shd w:val="pct20" w:color="auto" w:fill="auto"/>
      <w:ind w:left="1134" w:hanging="1134"/>
      <w:jc w:val="both"/>
    </w:pPr>
    <w:rPr>
      <w:kern w:val="16"/>
      <w:sz w:val="24"/>
      <w:szCs w:val="20"/>
      <w:lang w:val="en-GB" w:eastAsia="en-GB"/>
    </w:rPr>
  </w:style>
  <w:style w:type="character" w:customStyle="1" w:styleId="MessageHeaderChar">
    <w:name w:val="Message Header Char"/>
    <w:basedOn w:val="DefaultParagraphFont"/>
    <w:link w:val="MessageHeader"/>
    <w:uiPriority w:val="99"/>
    <w:locked/>
    <w:rsid w:val="001578CF"/>
    <w:rPr>
      <w:rFonts w:ascii="Trebuchet MS" w:hAnsi="Trebuchet MS" w:cs="Times New Roman"/>
      <w:kern w:val="16"/>
      <w:sz w:val="20"/>
      <w:szCs w:val="20"/>
      <w:shd w:val="pct20" w:color="auto" w:fill="auto"/>
      <w:lang w:val="en-GB" w:eastAsia="en-GB"/>
    </w:rPr>
  </w:style>
  <w:style w:type="paragraph" w:styleId="Subtitle">
    <w:name w:val="Subtitle"/>
    <w:basedOn w:val="Normal"/>
    <w:link w:val="SubtitleChar"/>
    <w:uiPriority w:val="11"/>
    <w:qFormat/>
    <w:rsid w:val="001578CF"/>
    <w:pPr>
      <w:spacing w:after="60"/>
      <w:jc w:val="center"/>
      <w:outlineLvl w:val="1"/>
    </w:pPr>
    <w:rPr>
      <w:kern w:val="16"/>
      <w:szCs w:val="20"/>
      <w:lang w:val="en-GB" w:eastAsia="en-GB"/>
    </w:rPr>
  </w:style>
  <w:style w:type="character" w:customStyle="1" w:styleId="SubtitleChar">
    <w:name w:val="Subtitle Char"/>
    <w:basedOn w:val="DefaultParagraphFont"/>
    <w:link w:val="Subtitle"/>
    <w:uiPriority w:val="11"/>
    <w:locked/>
    <w:rsid w:val="001578CF"/>
    <w:rPr>
      <w:rFonts w:ascii="Trebuchet MS" w:hAnsi="Trebuchet MS" w:cs="Times New Roman"/>
      <w:kern w:val="16"/>
      <w:sz w:val="20"/>
      <w:szCs w:val="20"/>
      <w:lang w:val="en-GB" w:eastAsia="en-GB"/>
    </w:rPr>
  </w:style>
  <w:style w:type="paragraph" w:styleId="Title">
    <w:name w:val="Title"/>
    <w:basedOn w:val="Normal"/>
    <w:link w:val="TitleChar"/>
    <w:uiPriority w:val="10"/>
    <w:qFormat/>
    <w:rsid w:val="001578CF"/>
    <w:pPr>
      <w:spacing w:before="240" w:after="60"/>
      <w:jc w:val="center"/>
      <w:outlineLvl w:val="0"/>
    </w:pPr>
    <w:rPr>
      <w:b/>
      <w:kern w:val="28"/>
      <w:szCs w:val="20"/>
      <w:lang w:val="en-GB" w:eastAsia="en-GB"/>
    </w:rPr>
  </w:style>
  <w:style w:type="character" w:customStyle="1" w:styleId="TitleChar">
    <w:name w:val="Title Char"/>
    <w:basedOn w:val="DefaultParagraphFont"/>
    <w:link w:val="Title"/>
    <w:uiPriority w:val="10"/>
    <w:locked/>
    <w:rsid w:val="001578CF"/>
    <w:rPr>
      <w:rFonts w:ascii="Trebuchet MS" w:hAnsi="Trebuchet MS" w:cs="Times New Roman"/>
      <w:b/>
      <w:kern w:val="28"/>
      <w:sz w:val="20"/>
      <w:szCs w:val="20"/>
      <w:lang w:val="en-GB" w:eastAsia="en-GB"/>
    </w:rPr>
  </w:style>
  <w:style w:type="paragraph" w:styleId="TOAHeading">
    <w:name w:val="toa heading"/>
    <w:basedOn w:val="Normal"/>
    <w:next w:val="Normal"/>
    <w:uiPriority w:val="99"/>
    <w:semiHidden/>
    <w:rsid w:val="001578CF"/>
    <w:pPr>
      <w:jc w:val="both"/>
    </w:pPr>
    <w:rPr>
      <w:b/>
      <w:kern w:val="16"/>
      <w:szCs w:val="20"/>
      <w:lang w:val="en-GB" w:eastAsia="en-GB"/>
    </w:rPr>
  </w:style>
  <w:style w:type="paragraph" w:styleId="Footer">
    <w:name w:val="footer"/>
    <w:basedOn w:val="Normal"/>
    <w:link w:val="FooterChar"/>
    <w:uiPriority w:val="99"/>
    <w:rsid w:val="001578CF"/>
    <w:pPr>
      <w:tabs>
        <w:tab w:val="center" w:pos="4153"/>
        <w:tab w:val="right" w:pos="8306"/>
      </w:tabs>
      <w:jc w:val="both"/>
    </w:pPr>
    <w:rPr>
      <w:kern w:val="16"/>
      <w:szCs w:val="20"/>
      <w:lang w:val="en-GB" w:eastAsia="en-GB"/>
    </w:rPr>
  </w:style>
  <w:style w:type="character" w:customStyle="1" w:styleId="FooterChar">
    <w:name w:val="Footer Char"/>
    <w:basedOn w:val="DefaultParagraphFont"/>
    <w:link w:val="Footer"/>
    <w:uiPriority w:val="99"/>
    <w:locked/>
    <w:rsid w:val="001578CF"/>
    <w:rPr>
      <w:rFonts w:ascii="Trebuchet MS" w:hAnsi="Trebuchet MS" w:cs="Times New Roman"/>
      <w:kern w:val="16"/>
      <w:sz w:val="20"/>
      <w:szCs w:val="20"/>
      <w:lang w:val="en-GB" w:eastAsia="en-GB"/>
    </w:rPr>
  </w:style>
  <w:style w:type="character" w:styleId="PageNumber">
    <w:name w:val="page number"/>
    <w:basedOn w:val="DefaultParagraphFont"/>
    <w:uiPriority w:val="99"/>
    <w:rsid w:val="001578CF"/>
    <w:rPr>
      <w:rFonts w:cs="Times New Roman"/>
    </w:rPr>
  </w:style>
  <w:style w:type="paragraph" w:styleId="Header">
    <w:name w:val="header"/>
    <w:basedOn w:val="Normal"/>
    <w:link w:val="HeaderChar"/>
    <w:uiPriority w:val="99"/>
    <w:rsid w:val="001578CF"/>
    <w:pPr>
      <w:tabs>
        <w:tab w:val="center" w:pos="4153"/>
        <w:tab w:val="right" w:pos="8306"/>
      </w:tabs>
      <w:jc w:val="both"/>
    </w:pPr>
    <w:rPr>
      <w:kern w:val="16"/>
      <w:szCs w:val="20"/>
      <w:lang w:val="en-GB" w:eastAsia="en-GB"/>
    </w:rPr>
  </w:style>
  <w:style w:type="character" w:customStyle="1" w:styleId="HeaderChar">
    <w:name w:val="Header Char"/>
    <w:basedOn w:val="DefaultParagraphFont"/>
    <w:link w:val="Header"/>
    <w:uiPriority w:val="99"/>
    <w:locked/>
    <w:rsid w:val="001578CF"/>
    <w:rPr>
      <w:rFonts w:ascii="Trebuchet MS" w:hAnsi="Trebuchet MS" w:cs="Times New Roman"/>
      <w:kern w:val="16"/>
      <w:sz w:val="20"/>
      <w:szCs w:val="20"/>
      <w:lang w:val="en-GB" w:eastAsia="en-GB"/>
    </w:rPr>
  </w:style>
  <w:style w:type="paragraph" w:styleId="TOC2">
    <w:name w:val="toc 2"/>
    <w:basedOn w:val="Normal"/>
    <w:next w:val="Normal"/>
    <w:autoRedefine/>
    <w:uiPriority w:val="39"/>
    <w:rsid w:val="00130C69"/>
    <w:pPr>
      <w:tabs>
        <w:tab w:val="right" w:leader="dot" w:pos="8789"/>
      </w:tabs>
      <w:spacing w:after="240"/>
      <w:ind w:left="709" w:hanging="709"/>
      <w:jc w:val="both"/>
    </w:pPr>
    <w:rPr>
      <w:b/>
      <w:kern w:val="16"/>
      <w:szCs w:val="20"/>
      <w:lang w:val="en-GB" w:eastAsia="en-GB"/>
    </w:rPr>
  </w:style>
  <w:style w:type="paragraph" w:styleId="TOC3">
    <w:name w:val="toc 3"/>
    <w:basedOn w:val="Normal"/>
    <w:next w:val="Normal"/>
    <w:autoRedefine/>
    <w:uiPriority w:val="39"/>
    <w:rsid w:val="004426BF"/>
    <w:pPr>
      <w:tabs>
        <w:tab w:val="left" w:pos="1320"/>
        <w:tab w:val="right" w:leader="dot" w:pos="9350"/>
      </w:tabs>
      <w:spacing w:after="240"/>
      <w:ind w:left="397"/>
    </w:pPr>
    <w:rPr>
      <w:b/>
      <w:kern w:val="16"/>
      <w:szCs w:val="20"/>
      <w:lang w:val="en-GB" w:eastAsia="en-GB"/>
    </w:rPr>
  </w:style>
  <w:style w:type="paragraph" w:styleId="TOC4">
    <w:name w:val="toc 4"/>
    <w:basedOn w:val="Normal"/>
    <w:next w:val="Normal"/>
    <w:autoRedefine/>
    <w:uiPriority w:val="39"/>
    <w:semiHidden/>
    <w:rsid w:val="001578CF"/>
    <w:pPr>
      <w:spacing w:after="240"/>
      <w:ind w:left="1417" w:hanging="709"/>
      <w:jc w:val="both"/>
    </w:pPr>
    <w:rPr>
      <w:b/>
      <w:kern w:val="16"/>
      <w:szCs w:val="20"/>
      <w:lang w:val="en-GB" w:eastAsia="en-GB"/>
    </w:rPr>
  </w:style>
  <w:style w:type="paragraph" w:styleId="TOC5">
    <w:name w:val="toc 5"/>
    <w:basedOn w:val="Normal"/>
    <w:next w:val="Normal"/>
    <w:autoRedefine/>
    <w:uiPriority w:val="39"/>
    <w:semiHidden/>
    <w:rsid w:val="001578CF"/>
    <w:pPr>
      <w:ind w:left="2126" w:hanging="709"/>
      <w:jc w:val="both"/>
    </w:pPr>
    <w:rPr>
      <w:b/>
      <w:kern w:val="16"/>
      <w:szCs w:val="20"/>
      <w:lang w:val="en-GB" w:eastAsia="en-GB"/>
    </w:rPr>
  </w:style>
  <w:style w:type="paragraph" w:styleId="TOC6">
    <w:name w:val="toc 6"/>
    <w:basedOn w:val="Normal"/>
    <w:next w:val="Normal"/>
    <w:autoRedefine/>
    <w:uiPriority w:val="39"/>
    <w:semiHidden/>
    <w:rsid w:val="001578CF"/>
    <w:pPr>
      <w:ind w:left="2126" w:hanging="709"/>
      <w:jc w:val="both"/>
    </w:pPr>
    <w:rPr>
      <w:b/>
      <w:kern w:val="16"/>
      <w:szCs w:val="20"/>
      <w:lang w:val="en-GB" w:eastAsia="en-GB"/>
    </w:rPr>
  </w:style>
  <w:style w:type="paragraph" w:styleId="TOC7">
    <w:name w:val="toc 7"/>
    <w:basedOn w:val="Normal"/>
    <w:next w:val="Normal"/>
    <w:autoRedefine/>
    <w:uiPriority w:val="39"/>
    <w:semiHidden/>
    <w:rsid w:val="001578CF"/>
    <w:pPr>
      <w:ind w:left="2126" w:hanging="709"/>
      <w:jc w:val="both"/>
    </w:pPr>
    <w:rPr>
      <w:b/>
      <w:kern w:val="16"/>
      <w:szCs w:val="20"/>
      <w:lang w:val="en-GB" w:eastAsia="en-GB"/>
    </w:rPr>
  </w:style>
  <w:style w:type="paragraph" w:styleId="TOC8">
    <w:name w:val="toc 8"/>
    <w:basedOn w:val="Normal"/>
    <w:next w:val="Normal"/>
    <w:autoRedefine/>
    <w:uiPriority w:val="39"/>
    <w:semiHidden/>
    <w:rsid w:val="001578CF"/>
    <w:pPr>
      <w:ind w:left="2126" w:hanging="709"/>
      <w:jc w:val="both"/>
    </w:pPr>
    <w:rPr>
      <w:b/>
      <w:kern w:val="16"/>
      <w:szCs w:val="20"/>
      <w:lang w:val="en-GB" w:eastAsia="en-GB"/>
    </w:rPr>
  </w:style>
  <w:style w:type="paragraph" w:styleId="TOC9">
    <w:name w:val="toc 9"/>
    <w:basedOn w:val="Normal"/>
    <w:next w:val="Normal"/>
    <w:autoRedefine/>
    <w:uiPriority w:val="39"/>
    <w:semiHidden/>
    <w:rsid w:val="001578CF"/>
    <w:pPr>
      <w:ind w:left="2126" w:hanging="709"/>
      <w:jc w:val="both"/>
    </w:pPr>
    <w:rPr>
      <w:b/>
      <w:kern w:val="16"/>
      <w:szCs w:val="20"/>
      <w:lang w:val="en-GB" w:eastAsia="en-GB"/>
    </w:rPr>
  </w:style>
  <w:style w:type="table" w:styleId="TableGrid">
    <w:name w:val="Table Grid"/>
    <w:basedOn w:val="TableNormal"/>
    <w:rsid w:val="001578CF"/>
    <w:pPr>
      <w:spacing w:after="0" w:line="240" w:lineRule="auto"/>
    </w:pPr>
    <w:rPr>
      <w:rFonts w:ascii="Times New Roman" w:hAnsi="Times New Roman"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erNew">
    <w:name w:val="FooterNew"/>
    <w:basedOn w:val="Footer"/>
    <w:rsid w:val="001578CF"/>
    <w:rPr>
      <w:rFonts w:ascii="Novarese Bold" w:hAnsi="Novarese Bold"/>
    </w:rPr>
  </w:style>
  <w:style w:type="paragraph" w:customStyle="1" w:styleId="FooterNewTwo">
    <w:name w:val="FooterNewTwo"/>
    <w:basedOn w:val="FooterNew"/>
    <w:rsid w:val="001578CF"/>
    <w:rPr>
      <w:rFonts w:ascii="Novarese Book" w:hAnsi="Novarese Book"/>
      <w:b/>
    </w:rPr>
  </w:style>
  <w:style w:type="paragraph" w:customStyle="1" w:styleId="Level5Bullet">
    <w:name w:val="Level 5 Bullet"/>
    <w:basedOn w:val="Normal"/>
    <w:rsid w:val="001578CF"/>
    <w:pPr>
      <w:ind w:left="2126" w:hanging="709"/>
      <w:jc w:val="both"/>
    </w:pPr>
    <w:rPr>
      <w:szCs w:val="20"/>
      <w:lang w:val="en-GB"/>
    </w:rPr>
  </w:style>
  <w:style w:type="paragraph" w:styleId="ListParagraph">
    <w:name w:val="List Paragraph"/>
    <w:aliases w:val="Num Bullet 1,Bullet Number"/>
    <w:basedOn w:val="Normal"/>
    <w:link w:val="ListParagraphChar"/>
    <w:uiPriority w:val="34"/>
    <w:qFormat/>
    <w:rsid w:val="001578CF"/>
    <w:pPr>
      <w:ind w:left="720"/>
      <w:jc w:val="both"/>
    </w:pPr>
    <w:rPr>
      <w:kern w:val="16"/>
      <w:szCs w:val="20"/>
      <w:lang w:val="en-GB" w:eastAsia="en-GB"/>
    </w:rPr>
  </w:style>
  <w:style w:type="paragraph" w:customStyle="1" w:styleId="Bodynumbered">
    <w:name w:val="Body numbered"/>
    <w:basedOn w:val="BodyText"/>
    <w:qFormat/>
    <w:rsid w:val="00FE334C"/>
    <w:pPr>
      <w:numPr>
        <w:numId w:val="6"/>
      </w:numPr>
    </w:pPr>
    <w:rPr>
      <w:rFonts w:eastAsia="Trebuchet MS"/>
      <w:noProof/>
      <w:color w:val="404040" w:themeColor="text1"/>
    </w:rPr>
  </w:style>
  <w:style w:type="paragraph" w:styleId="BodyTextIndent">
    <w:name w:val="Body Text Indent"/>
    <w:basedOn w:val="Normal"/>
    <w:link w:val="BodyTextIndentChar"/>
    <w:uiPriority w:val="99"/>
    <w:semiHidden/>
    <w:unhideWhenUsed/>
    <w:rsid w:val="001578CF"/>
    <w:pPr>
      <w:spacing w:after="120"/>
      <w:ind w:left="283"/>
      <w:jc w:val="both"/>
    </w:pPr>
    <w:rPr>
      <w:kern w:val="16"/>
      <w:szCs w:val="20"/>
      <w:lang w:val="en-GB" w:eastAsia="en-GB"/>
    </w:rPr>
  </w:style>
  <w:style w:type="character" w:customStyle="1" w:styleId="BodyTextIndentChar">
    <w:name w:val="Body Text Indent Char"/>
    <w:basedOn w:val="DefaultParagraphFont"/>
    <w:link w:val="BodyTextIndent"/>
    <w:uiPriority w:val="99"/>
    <w:semiHidden/>
    <w:locked/>
    <w:rsid w:val="001578CF"/>
    <w:rPr>
      <w:rFonts w:ascii="Trebuchet MS" w:hAnsi="Trebuchet MS" w:cs="Times New Roman"/>
      <w:kern w:val="16"/>
      <w:sz w:val="20"/>
      <w:szCs w:val="20"/>
      <w:lang w:val="en-GB" w:eastAsia="en-GB"/>
    </w:rPr>
  </w:style>
  <w:style w:type="paragraph" w:styleId="BalloonText">
    <w:name w:val="Balloon Text"/>
    <w:basedOn w:val="Normal"/>
    <w:link w:val="BalloonTextChar"/>
    <w:uiPriority w:val="99"/>
    <w:semiHidden/>
    <w:unhideWhenUsed/>
    <w:rsid w:val="001578CF"/>
    <w:pPr>
      <w:jc w:val="both"/>
    </w:pPr>
    <w:rPr>
      <w:rFonts w:ascii="Tahoma" w:hAnsi="Tahoma" w:cs="Tahoma"/>
      <w:kern w:val="16"/>
      <w:sz w:val="16"/>
      <w:szCs w:val="16"/>
      <w:lang w:val="en-GB" w:eastAsia="en-GB"/>
    </w:rPr>
  </w:style>
  <w:style w:type="character" w:customStyle="1" w:styleId="BalloonTextChar">
    <w:name w:val="Balloon Text Char"/>
    <w:basedOn w:val="DefaultParagraphFont"/>
    <w:link w:val="BalloonText"/>
    <w:uiPriority w:val="99"/>
    <w:semiHidden/>
    <w:locked/>
    <w:rsid w:val="001578CF"/>
    <w:rPr>
      <w:rFonts w:ascii="Tahoma" w:hAnsi="Tahoma" w:cs="Tahoma"/>
      <w:kern w:val="16"/>
      <w:sz w:val="16"/>
      <w:szCs w:val="16"/>
      <w:lang w:val="en-GB" w:eastAsia="en-GB"/>
    </w:rPr>
  </w:style>
  <w:style w:type="paragraph" w:customStyle="1" w:styleId="bullet">
    <w:name w:val="bullet"/>
    <w:basedOn w:val="ListParagraph"/>
    <w:qFormat/>
    <w:rsid w:val="00FE334C"/>
    <w:pPr>
      <w:numPr>
        <w:numId w:val="7"/>
      </w:numPr>
    </w:pPr>
    <w:rPr>
      <w:noProof/>
    </w:rPr>
  </w:style>
  <w:style w:type="paragraph" w:styleId="NormalWeb">
    <w:name w:val="Normal (Web)"/>
    <w:basedOn w:val="Normal"/>
    <w:link w:val="NormalWebChar"/>
    <w:uiPriority w:val="99"/>
    <w:unhideWhenUsed/>
    <w:rsid w:val="001578CF"/>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1578CF"/>
    <w:rPr>
      <w:rFonts w:cs="Times New Roman"/>
      <w:sz w:val="16"/>
      <w:szCs w:val="16"/>
    </w:rPr>
  </w:style>
  <w:style w:type="paragraph" w:styleId="CommentText">
    <w:name w:val="annotation text"/>
    <w:basedOn w:val="Normal"/>
    <w:link w:val="CommentTextChar"/>
    <w:unhideWhenUsed/>
    <w:rsid w:val="001578CF"/>
    <w:pPr>
      <w:jc w:val="both"/>
    </w:pPr>
    <w:rPr>
      <w:kern w:val="16"/>
      <w:szCs w:val="20"/>
      <w:lang w:val="en-GB" w:eastAsia="en-GB"/>
    </w:rPr>
  </w:style>
  <w:style w:type="character" w:customStyle="1" w:styleId="CommentTextChar">
    <w:name w:val="Comment Text Char"/>
    <w:basedOn w:val="DefaultParagraphFont"/>
    <w:link w:val="CommentText"/>
    <w:locked/>
    <w:rsid w:val="001578CF"/>
    <w:rPr>
      <w:rFonts w:ascii="Trebuchet MS" w:hAnsi="Trebuchet MS" w:cs="Times New Roman"/>
      <w:kern w:val="16"/>
      <w:sz w:val="20"/>
      <w:szCs w:val="20"/>
      <w:lang w:val="en-GB" w:eastAsia="en-GB"/>
    </w:rPr>
  </w:style>
  <w:style w:type="paragraph" w:styleId="CommentSubject">
    <w:name w:val="annotation subject"/>
    <w:basedOn w:val="CommentText"/>
    <w:next w:val="CommentText"/>
    <w:link w:val="CommentSubjectChar"/>
    <w:uiPriority w:val="99"/>
    <w:semiHidden/>
    <w:unhideWhenUsed/>
    <w:rsid w:val="001578CF"/>
    <w:rPr>
      <w:b/>
      <w:bCs/>
    </w:rPr>
  </w:style>
  <w:style w:type="character" w:customStyle="1" w:styleId="CommentSubjectChar">
    <w:name w:val="Comment Subject Char"/>
    <w:basedOn w:val="CommentTextChar"/>
    <w:link w:val="CommentSubject"/>
    <w:uiPriority w:val="99"/>
    <w:semiHidden/>
    <w:locked/>
    <w:rsid w:val="001578CF"/>
    <w:rPr>
      <w:rFonts w:ascii="Trebuchet MS" w:hAnsi="Trebuchet MS" w:cs="Times New Roman"/>
      <w:b/>
      <w:bCs/>
      <w:kern w:val="16"/>
      <w:sz w:val="20"/>
      <w:szCs w:val="20"/>
      <w:lang w:val="en-GB" w:eastAsia="en-GB"/>
    </w:rPr>
  </w:style>
  <w:style w:type="character" w:styleId="Hyperlink">
    <w:name w:val="Hyperlink"/>
    <w:basedOn w:val="DefaultParagraphFont"/>
    <w:uiPriority w:val="99"/>
    <w:unhideWhenUsed/>
    <w:rsid w:val="001578CF"/>
    <w:rPr>
      <w:rFonts w:cs="Times New Roman"/>
      <w:color w:val="0000FF"/>
      <w:u w:val="single"/>
    </w:rPr>
  </w:style>
  <w:style w:type="character" w:styleId="FollowedHyperlink">
    <w:name w:val="FollowedHyperlink"/>
    <w:basedOn w:val="DefaultParagraphFont"/>
    <w:uiPriority w:val="99"/>
    <w:semiHidden/>
    <w:unhideWhenUsed/>
    <w:rsid w:val="001578CF"/>
    <w:rPr>
      <w:rFonts w:cs="Times New Roman"/>
      <w:color w:val="800080"/>
      <w:u w:val="single"/>
    </w:rPr>
  </w:style>
  <w:style w:type="paragraph" w:customStyle="1" w:styleId="font5">
    <w:name w:val="font5"/>
    <w:basedOn w:val="Normal"/>
    <w:rsid w:val="001578CF"/>
    <w:pPr>
      <w:spacing w:before="100" w:beforeAutospacing="1" w:after="100" w:afterAutospacing="1"/>
    </w:pPr>
    <w:rPr>
      <w:color w:val="FFFFFF"/>
      <w:szCs w:val="20"/>
      <w:lang w:val="en-GB" w:eastAsia="en-GB"/>
    </w:rPr>
  </w:style>
  <w:style w:type="paragraph" w:customStyle="1" w:styleId="xl63">
    <w:name w:val="xl63"/>
    <w:basedOn w:val="Normal"/>
    <w:rsid w:val="001578CF"/>
    <w:pPr>
      <w:shd w:val="clear" w:color="000000" w:fill="2EAFA4"/>
      <w:spacing w:before="100" w:beforeAutospacing="1" w:after="100" w:afterAutospacing="1"/>
    </w:pPr>
    <w:rPr>
      <w:rFonts w:ascii="Times New Roman" w:hAnsi="Times New Roman"/>
      <w:sz w:val="24"/>
      <w:szCs w:val="24"/>
      <w:lang w:val="en-GB" w:eastAsia="en-GB"/>
    </w:rPr>
  </w:style>
  <w:style w:type="paragraph" w:customStyle="1" w:styleId="xl64">
    <w:name w:val="xl64"/>
    <w:basedOn w:val="Normal"/>
    <w:rsid w:val="001578CF"/>
    <w:pPr>
      <w:shd w:val="clear" w:color="000000" w:fill="685040"/>
      <w:spacing w:before="100" w:beforeAutospacing="1" w:after="100" w:afterAutospacing="1"/>
    </w:pPr>
    <w:rPr>
      <w:rFonts w:ascii="Times New Roman" w:hAnsi="Times New Roman"/>
      <w:b/>
      <w:bCs/>
      <w:color w:val="FFFFFF"/>
      <w:sz w:val="24"/>
      <w:szCs w:val="24"/>
      <w:lang w:val="en-GB" w:eastAsia="en-GB"/>
    </w:rPr>
  </w:style>
  <w:style w:type="paragraph" w:customStyle="1" w:styleId="xl65">
    <w:name w:val="xl65"/>
    <w:basedOn w:val="Normal"/>
    <w:rsid w:val="001578CF"/>
    <w:pPr>
      <w:shd w:val="clear" w:color="000000" w:fill="685040"/>
      <w:spacing w:before="100" w:beforeAutospacing="1" w:after="100" w:afterAutospacing="1"/>
    </w:pPr>
    <w:rPr>
      <w:rFonts w:ascii="Times New Roman" w:hAnsi="Times New Roman"/>
      <w:color w:val="FFFFFF"/>
      <w:sz w:val="24"/>
      <w:szCs w:val="24"/>
      <w:lang w:val="en-GB" w:eastAsia="en-GB"/>
    </w:rPr>
  </w:style>
  <w:style w:type="paragraph" w:customStyle="1" w:styleId="xl66">
    <w:name w:val="xl66"/>
    <w:basedOn w:val="Normal"/>
    <w:rsid w:val="001578CF"/>
    <w:pPr>
      <w:shd w:val="clear" w:color="000000" w:fill="685040"/>
      <w:spacing w:before="100" w:beforeAutospacing="1" w:after="100" w:afterAutospacing="1"/>
      <w:jc w:val="center"/>
    </w:pPr>
    <w:rPr>
      <w:rFonts w:ascii="Times New Roman" w:hAnsi="Times New Roman"/>
      <w:color w:val="FFFFFF"/>
      <w:sz w:val="24"/>
      <w:szCs w:val="24"/>
      <w:lang w:val="en-GB" w:eastAsia="en-GB"/>
    </w:rPr>
  </w:style>
  <w:style w:type="paragraph" w:customStyle="1" w:styleId="xl67">
    <w:name w:val="xl67"/>
    <w:basedOn w:val="Normal"/>
    <w:rsid w:val="001578CF"/>
    <w:pPr>
      <w:pBdr>
        <w:top w:val="single" w:sz="8" w:space="0" w:color="auto"/>
        <w:left w:val="single" w:sz="8" w:space="0" w:color="auto"/>
      </w:pBdr>
      <w:spacing w:before="100" w:beforeAutospacing="1" w:after="100" w:afterAutospacing="1"/>
    </w:pPr>
    <w:rPr>
      <w:rFonts w:ascii="Times New Roman" w:hAnsi="Times New Roman"/>
      <w:sz w:val="24"/>
      <w:szCs w:val="24"/>
      <w:lang w:val="en-GB" w:eastAsia="en-GB"/>
    </w:rPr>
  </w:style>
  <w:style w:type="paragraph" w:customStyle="1" w:styleId="xl68">
    <w:name w:val="xl68"/>
    <w:basedOn w:val="Normal"/>
    <w:rsid w:val="001578CF"/>
    <w:pPr>
      <w:pBdr>
        <w:top w:val="single" w:sz="8" w:space="0" w:color="auto"/>
        <w:left w:val="single" w:sz="4" w:space="0" w:color="auto"/>
        <w:right w:val="single" w:sz="4" w:space="0" w:color="auto"/>
      </w:pBdr>
      <w:spacing w:before="100" w:beforeAutospacing="1" w:after="100" w:afterAutospacing="1"/>
    </w:pPr>
    <w:rPr>
      <w:rFonts w:ascii="Times New Roman" w:hAnsi="Times New Roman"/>
      <w:sz w:val="24"/>
      <w:szCs w:val="24"/>
      <w:lang w:val="en-GB" w:eastAsia="en-GB"/>
    </w:rPr>
  </w:style>
  <w:style w:type="paragraph" w:customStyle="1" w:styleId="xl69">
    <w:name w:val="xl69"/>
    <w:basedOn w:val="Normal"/>
    <w:rsid w:val="001578CF"/>
    <w:pPr>
      <w:pBdr>
        <w:left w:val="single" w:sz="8" w:space="0" w:color="auto"/>
      </w:pBdr>
      <w:shd w:val="clear" w:color="000000" w:fill="EEE8E5"/>
      <w:spacing w:before="100" w:beforeAutospacing="1" w:after="100" w:afterAutospacing="1"/>
    </w:pPr>
    <w:rPr>
      <w:rFonts w:ascii="Times New Roman" w:hAnsi="Times New Roman"/>
      <w:sz w:val="24"/>
      <w:szCs w:val="24"/>
      <w:lang w:val="en-GB" w:eastAsia="en-GB"/>
    </w:rPr>
  </w:style>
  <w:style w:type="paragraph" w:customStyle="1" w:styleId="xl70">
    <w:name w:val="xl70"/>
    <w:basedOn w:val="Normal"/>
    <w:rsid w:val="001578CF"/>
    <w:pPr>
      <w:pBdr>
        <w:left w:val="single" w:sz="4" w:space="0" w:color="auto"/>
        <w:right w:val="single" w:sz="4" w:space="0" w:color="auto"/>
      </w:pBdr>
      <w:shd w:val="clear" w:color="000000" w:fill="EEE8E5"/>
      <w:spacing w:before="100" w:beforeAutospacing="1" w:after="100" w:afterAutospacing="1"/>
      <w:jc w:val="center"/>
    </w:pPr>
    <w:rPr>
      <w:rFonts w:ascii="Times New Roman" w:hAnsi="Times New Roman"/>
      <w:sz w:val="24"/>
      <w:szCs w:val="24"/>
      <w:lang w:val="en-GB" w:eastAsia="en-GB"/>
    </w:rPr>
  </w:style>
  <w:style w:type="paragraph" w:customStyle="1" w:styleId="xl71">
    <w:name w:val="xl71"/>
    <w:basedOn w:val="Normal"/>
    <w:rsid w:val="001578CF"/>
    <w:pPr>
      <w:pBdr>
        <w:left w:val="single" w:sz="8" w:space="9" w:color="auto"/>
      </w:pBdr>
      <w:spacing w:before="100" w:beforeAutospacing="1" w:after="100" w:afterAutospacing="1"/>
      <w:ind w:firstLineChars="100" w:firstLine="100"/>
    </w:pPr>
    <w:rPr>
      <w:rFonts w:ascii="Times New Roman" w:hAnsi="Times New Roman"/>
      <w:color w:val="FF0000"/>
      <w:sz w:val="24"/>
      <w:szCs w:val="24"/>
      <w:lang w:val="en-GB" w:eastAsia="en-GB"/>
    </w:rPr>
  </w:style>
  <w:style w:type="paragraph" w:customStyle="1" w:styleId="xl72">
    <w:name w:val="xl72"/>
    <w:basedOn w:val="Normal"/>
    <w:rsid w:val="001578CF"/>
    <w:pPr>
      <w:pBdr>
        <w:left w:val="single" w:sz="4" w:space="0" w:color="auto"/>
        <w:right w:val="single" w:sz="4" w:space="0" w:color="auto"/>
      </w:pBdr>
      <w:spacing w:before="100" w:beforeAutospacing="1" w:after="100" w:afterAutospacing="1"/>
      <w:jc w:val="center"/>
    </w:pPr>
    <w:rPr>
      <w:rFonts w:ascii="Times New Roman" w:hAnsi="Times New Roman"/>
      <w:color w:val="FF0000"/>
      <w:sz w:val="24"/>
      <w:szCs w:val="24"/>
      <w:lang w:val="en-GB" w:eastAsia="en-GB"/>
    </w:rPr>
  </w:style>
  <w:style w:type="paragraph" w:customStyle="1" w:styleId="xl73">
    <w:name w:val="xl73"/>
    <w:basedOn w:val="Normal"/>
    <w:rsid w:val="001578CF"/>
    <w:pPr>
      <w:pBdr>
        <w:top w:val="single" w:sz="8" w:space="0" w:color="auto"/>
        <w:left w:val="single" w:sz="8" w:space="0" w:color="auto"/>
      </w:pBdr>
      <w:shd w:val="clear" w:color="000000" w:fill="EEE8E5"/>
      <w:spacing w:before="100" w:beforeAutospacing="1" w:after="100" w:afterAutospacing="1"/>
    </w:pPr>
    <w:rPr>
      <w:rFonts w:ascii="Times New Roman" w:hAnsi="Times New Roman"/>
      <w:b/>
      <w:bCs/>
      <w:sz w:val="24"/>
      <w:szCs w:val="24"/>
      <w:lang w:val="en-GB" w:eastAsia="en-GB"/>
    </w:rPr>
  </w:style>
  <w:style w:type="paragraph" w:customStyle="1" w:styleId="xl74">
    <w:name w:val="xl74"/>
    <w:basedOn w:val="Normal"/>
    <w:rsid w:val="001578CF"/>
    <w:pPr>
      <w:pBdr>
        <w:top w:val="single" w:sz="8" w:space="0" w:color="auto"/>
        <w:left w:val="single" w:sz="4" w:space="0" w:color="auto"/>
        <w:right w:val="single" w:sz="4" w:space="0" w:color="auto"/>
      </w:pBdr>
      <w:shd w:val="clear" w:color="000000" w:fill="EEE8E5"/>
      <w:spacing w:before="100" w:beforeAutospacing="1" w:after="100" w:afterAutospacing="1"/>
      <w:jc w:val="center"/>
    </w:pPr>
    <w:rPr>
      <w:rFonts w:ascii="Times New Roman" w:hAnsi="Times New Roman"/>
      <w:b/>
      <w:bCs/>
      <w:sz w:val="24"/>
      <w:szCs w:val="24"/>
      <w:lang w:val="en-GB" w:eastAsia="en-GB"/>
    </w:rPr>
  </w:style>
  <w:style w:type="paragraph" w:customStyle="1" w:styleId="xl75">
    <w:name w:val="xl75"/>
    <w:basedOn w:val="Normal"/>
    <w:rsid w:val="001578CF"/>
    <w:pPr>
      <w:pBdr>
        <w:left w:val="single" w:sz="8" w:space="9" w:color="auto"/>
        <w:bottom w:val="single" w:sz="8" w:space="0" w:color="auto"/>
      </w:pBdr>
      <w:spacing w:before="100" w:beforeAutospacing="1" w:after="100" w:afterAutospacing="1"/>
      <w:ind w:firstLineChars="100" w:firstLine="100"/>
    </w:pPr>
    <w:rPr>
      <w:rFonts w:ascii="Times New Roman" w:hAnsi="Times New Roman"/>
      <w:b/>
      <w:bCs/>
      <w:color w:val="FF0000"/>
      <w:sz w:val="24"/>
      <w:szCs w:val="24"/>
      <w:lang w:val="en-GB" w:eastAsia="en-GB"/>
    </w:rPr>
  </w:style>
  <w:style w:type="paragraph" w:customStyle="1" w:styleId="xl76">
    <w:name w:val="xl76"/>
    <w:basedOn w:val="Normal"/>
    <w:rsid w:val="001578CF"/>
    <w:pPr>
      <w:pBdr>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
      <w:bCs/>
      <w:color w:val="FF0000"/>
      <w:sz w:val="24"/>
      <w:szCs w:val="24"/>
      <w:lang w:val="en-GB" w:eastAsia="en-GB"/>
    </w:rPr>
  </w:style>
  <w:style w:type="paragraph" w:customStyle="1" w:styleId="xl77">
    <w:name w:val="xl77"/>
    <w:basedOn w:val="Normal"/>
    <w:rsid w:val="001578CF"/>
    <w:pPr>
      <w:shd w:val="clear" w:color="000000" w:fill="EE9024"/>
      <w:spacing w:before="100" w:beforeAutospacing="1" w:after="100" w:afterAutospacing="1"/>
      <w:jc w:val="center"/>
    </w:pPr>
    <w:rPr>
      <w:rFonts w:ascii="Times New Roman" w:hAnsi="Times New Roman"/>
      <w:b/>
      <w:bCs/>
      <w:color w:val="FFFFFF"/>
      <w:sz w:val="24"/>
      <w:szCs w:val="24"/>
      <w:lang w:val="en-GB" w:eastAsia="en-GB"/>
    </w:rPr>
  </w:style>
  <w:style w:type="paragraph" w:customStyle="1" w:styleId="xl78">
    <w:name w:val="xl78"/>
    <w:basedOn w:val="Normal"/>
    <w:rsid w:val="001578CF"/>
    <w:pPr>
      <w:shd w:val="clear" w:color="000000" w:fill="62CAE3"/>
      <w:spacing w:before="100" w:beforeAutospacing="1" w:after="100" w:afterAutospacing="1"/>
      <w:jc w:val="center"/>
    </w:pPr>
    <w:rPr>
      <w:rFonts w:ascii="Times New Roman" w:hAnsi="Times New Roman"/>
      <w:b/>
      <w:bCs/>
      <w:color w:val="FFFFFF"/>
      <w:sz w:val="24"/>
      <w:szCs w:val="24"/>
      <w:lang w:val="en-GB" w:eastAsia="en-GB"/>
    </w:rPr>
  </w:style>
  <w:style w:type="paragraph" w:customStyle="1" w:styleId="xl79">
    <w:name w:val="xl79"/>
    <w:basedOn w:val="Normal"/>
    <w:rsid w:val="001578CF"/>
    <w:pPr>
      <w:pBdr>
        <w:top w:val="single" w:sz="8" w:space="0" w:color="auto"/>
        <w:left w:val="single" w:sz="4" w:space="0" w:color="auto"/>
        <w:right w:val="single" w:sz="8" w:space="0" w:color="685040"/>
      </w:pBdr>
      <w:spacing w:before="100" w:beforeAutospacing="1" w:after="100" w:afterAutospacing="1"/>
    </w:pPr>
    <w:rPr>
      <w:rFonts w:ascii="Times New Roman" w:hAnsi="Times New Roman"/>
      <w:sz w:val="24"/>
      <w:szCs w:val="24"/>
      <w:lang w:val="en-GB" w:eastAsia="en-GB"/>
    </w:rPr>
  </w:style>
  <w:style w:type="paragraph" w:customStyle="1" w:styleId="xl80">
    <w:name w:val="xl80"/>
    <w:basedOn w:val="Normal"/>
    <w:rsid w:val="001578CF"/>
    <w:pPr>
      <w:pBdr>
        <w:left w:val="single" w:sz="4" w:space="0" w:color="auto"/>
        <w:right w:val="single" w:sz="8" w:space="0" w:color="685040"/>
      </w:pBdr>
      <w:shd w:val="clear" w:color="000000" w:fill="EEE8E5"/>
      <w:spacing w:before="100" w:beforeAutospacing="1" w:after="100" w:afterAutospacing="1"/>
      <w:jc w:val="center"/>
    </w:pPr>
    <w:rPr>
      <w:rFonts w:ascii="Times New Roman" w:hAnsi="Times New Roman"/>
      <w:sz w:val="24"/>
      <w:szCs w:val="24"/>
      <w:lang w:val="en-GB" w:eastAsia="en-GB"/>
    </w:rPr>
  </w:style>
  <w:style w:type="paragraph" w:customStyle="1" w:styleId="xl81">
    <w:name w:val="xl81"/>
    <w:basedOn w:val="Normal"/>
    <w:rsid w:val="001578CF"/>
    <w:pPr>
      <w:pBdr>
        <w:left w:val="single" w:sz="4" w:space="0" w:color="auto"/>
        <w:right w:val="single" w:sz="8" w:space="0" w:color="685040"/>
      </w:pBdr>
      <w:spacing w:before="100" w:beforeAutospacing="1" w:after="100" w:afterAutospacing="1"/>
      <w:jc w:val="center"/>
    </w:pPr>
    <w:rPr>
      <w:rFonts w:ascii="Times New Roman" w:hAnsi="Times New Roman"/>
      <w:color w:val="FF0000"/>
      <w:sz w:val="24"/>
      <w:szCs w:val="24"/>
      <w:lang w:val="en-GB" w:eastAsia="en-GB"/>
    </w:rPr>
  </w:style>
  <w:style w:type="paragraph" w:customStyle="1" w:styleId="xl82">
    <w:name w:val="xl82"/>
    <w:basedOn w:val="Normal"/>
    <w:rsid w:val="001578CF"/>
    <w:pPr>
      <w:pBdr>
        <w:top w:val="single" w:sz="8" w:space="0" w:color="auto"/>
        <w:left w:val="single" w:sz="4" w:space="0" w:color="auto"/>
        <w:right w:val="single" w:sz="8" w:space="0" w:color="685040"/>
      </w:pBdr>
      <w:shd w:val="clear" w:color="000000" w:fill="EEE8E5"/>
      <w:spacing w:before="100" w:beforeAutospacing="1" w:after="100" w:afterAutospacing="1"/>
      <w:jc w:val="center"/>
    </w:pPr>
    <w:rPr>
      <w:rFonts w:ascii="Times New Roman" w:hAnsi="Times New Roman"/>
      <w:b/>
      <w:bCs/>
      <w:sz w:val="24"/>
      <w:szCs w:val="24"/>
      <w:lang w:val="en-GB" w:eastAsia="en-GB"/>
    </w:rPr>
  </w:style>
  <w:style w:type="paragraph" w:customStyle="1" w:styleId="xl83">
    <w:name w:val="xl83"/>
    <w:basedOn w:val="Normal"/>
    <w:rsid w:val="001578CF"/>
    <w:pPr>
      <w:pBdr>
        <w:left w:val="single" w:sz="4" w:space="0" w:color="auto"/>
        <w:bottom w:val="single" w:sz="8" w:space="0" w:color="auto"/>
        <w:right w:val="single" w:sz="8" w:space="0" w:color="685040"/>
      </w:pBdr>
      <w:spacing w:before="100" w:beforeAutospacing="1" w:after="100" w:afterAutospacing="1"/>
      <w:jc w:val="center"/>
    </w:pPr>
    <w:rPr>
      <w:rFonts w:ascii="Times New Roman" w:hAnsi="Times New Roman"/>
      <w:b/>
      <w:bCs/>
      <w:color w:val="FF0000"/>
      <w:sz w:val="24"/>
      <w:szCs w:val="24"/>
      <w:lang w:val="en-GB" w:eastAsia="en-GB"/>
    </w:rPr>
  </w:style>
  <w:style w:type="paragraph" w:customStyle="1" w:styleId="xl84">
    <w:name w:val="xl84"/>
    <w:basedOn w:val="Normal"/>
    <w:rsid w:val="001578CF"/>
    <w:pPr>
      <w:pBdr>
        <w:left w:val="single" w:sz="8" w:space="0" w:color="auto"/>
      </w:pBdr>
      <w:shd w:val="clear" w:color="000000" w:fill="2EAFA4"/>
      <w:spacing w:before="100" w:beforeAutospacing="1" w:after="100" w:afterAutospacing="1"/>
    </w:pPr>
    <w:rPr>
      <w:rFonts w:ascii="Times New Roman" w:hAnsi="Times New Roman"/>
      <w:b/>
      <w:bCs/>
      <w:color w:val="FFFFFF"/>
      <w:sz w:val="24"/>
      <w:szCs w:val="24"/>
      <w:lang w:val="en-GB" w:eastAsia="en-GB"/>
    </w:rPr>
  </w:style>
  <w:style w:type="paragraph" w:customStyle="1" w:styleId="xl85">
    <w:name w:val="xl85"/>
    <w:basedOn w:val="Normal"/>
    <w:rsid w:val="001578CF"/>
    <w:pPr>
      <w:pBdr>
        <w:top w:val="single" w:sz="8" w:space="0" w:color="auto"/>
        <w:left w:val="single" w:sz="4" w:space="0" w:color="auto"/>
        <w:right w:val="single" w:sz="8" w:space="0" w:color="auto"/>
      </w:pBdr>
      <w:shd w:val="clear" w:color="000000" w:fill="EEE8E5"/>
      <w:spacing w:before="100" w:beforeAutospacing="1" w:after="100" w:afterAutospacing="1"/>
      <w:jc w:val="center"/>
    </w:pPr>
    <w:rPr>
      <w:rFonts w:ascii="Times New Roman" w:hAnsi="Times New Roman"/>
      <w:b/>
      <w:bCs/>
      <w:sz w:val="24"/>
      <w:szCs w:val="24"/>
      <w:lang w:val="en-GB" w:eastAsia="en-GB"/>
    </w:rPr>
  </w:style>
  <w:style w:type="paragraph" w:customStyle="1" w:styleId="xl86">
    <w:name w:val="xl86"/>
    <w:basedOn w:val="Normal"/>
    <w:rsid w:val="001578CF"/>
    <w:pPr>
      <w:pBdr>
        <w:top w:val="single" w:sz="8" w:space="0" w:color="auto"/>
        <w:left w:val="single" w:sz="8" w:space="9" w:color="auto"/>
        <w:bottom w:val="single" w:sz="8" w:space="0" w:color="auto"/>
      </w:pBdr>
      <w:spacing w:before="100" w:beforeAutospacing="1" w:after="100" w:afterAutospacing="1"/>
      <w:ind w:firstLineChars="100" w:firstLine="100"/>
    </w:pPr>
    <w:rPr>
      <w:rFonts w:ascii="Times New Roman" w:hAnsi="Times New Roman"/>
      <w:b/>
      <w:bCs/>
      <w:color w:val="FF0000"/>
      <w:sz w:val="24"/>
      <w:szCs w:val="24"/>
      <w:lang w:val="en-GB" w:eastAsia="en-GB"/>
    </w:rPr>
  </w:style>
  <w:style w:type="paragraph" w:customStyle="1" w:styleId="xl87">
    <w:name w:val="xl87"/>
    <w:basedOn w:val="Normal"/>
    <w:rsid w:val="001578CF"/>
    <w:pPr>
      <w:pBdr>
        <w:top w:val="single" w:sz="8" w:space="0" w:color="auto"/>
        <w:bottom w:val="single" w:sz="8" w:space="0" w:color="auto"/>
      </w:pBdr>
      <w:spacing w:before="100" w:beforeAutospacing="1" w:after="100" w:afterAutospacing="1"/>
      <w:jc w:val="center"/>
    </w:pPr>
    <w:rPr>
      <w:rFonts w:ascii="Times New Roman" w:hAnsi="Times New Roman"/>
      <w:b/>
      <w:bCs/>
      <w:color w:val="FF0000"/>
      <w:sz w:val="24"/>
      <w:szCs w:val="24"/>
      <w:lang w:val="en-GB" w:eastAsia="en-GB"/>
    </w:rPr>
  </w:style>
  <w:style w:type="paragraph" w:customStyle="1" w:styleId="xl88">
    <w:name w:val="xl88"/>
    <w:basedOn w:val="Normal"/>
    <w:rsid w:val="001578CF"/>
    <w:pPr>
      <w:pBdr>
        <w:top w:val="single" w:sz="8" w:space="0" w:color="auto"/>
        <w:bottom w:val="single" w:sz="8" w:space="0" w:color="auto"/>
        <w:right w:val="single" w:sz="8" w:space="0" w:color="685040"/>
      </w:pBdr>
      <w:spacing w:before="100" w:beforeAutospacing="1" w:after="100" w:afterAutospacing="1"/>
      <w:jc w:val="center"/>
    </w:pPr>
    <w:rPr>
      <w:rFonts w:ascii="Times New Roman" w:hAnsi="Times New Roman"/>
      <w:b/>
      <w:bCs/>
      <w:color w:val="FF0000"/>
      <w:sz w:val="24"/>
      <w:szCs w:val="24"/>
      <w:lang w:val="en-GB" w:eastAsia="en-GB"/>
    </w:rPr>
  </w:style>
  <w:style w:type="paragraph" w:customStyle="1" w:styleId="BDOBulletOne">
    <w:name w:val="BDO_Bullet One"/>
    <w:basedOn w:val="Normal"/>
    <w:rsid w:val="001578CF"/>
    <w:pPr>
      <w:spacing w:line="280" w:lineRule="atLeast"/>
      <w:contextualSpacing/>
    </w:pPr>
    <w:rPr>
      <w:szCs w:val="24"/>
      <w:lang w:val="en-GB" w:eastAsia="en-GB"/>
    </w:rPr>
  </w:style>
  <w:style w:type="table" w:customStyle="1" w:styleId="Style1">
    <w:name w:val="Style1"/>
    <w:basedOn w:val="TableNormal"/>
    <w:uiPriority w:val="99"/>
    <w:rsid w:val="001578CF"/>
    <w:pPr>
      <w:tabs>
        <w:tab w:val="left" w:pos="709"/>
      </w:tabs>
      <w:spacing w:after="0" w:line="280" w:lineRule="atLeast"/>
    </w:pPr>
    <w:rPr>
      <w:rFonts w:ascii="Trebuchet MS" w:hAnsi="Trebuchet MS" w:cs="Times New Roman"/>
      <w:color w:val="685040"/>
      <w:sz w:val="20"/>
      <w:szCs w:val="20"/>
      <w:lang w:val="en-GB" w:eastAsia="en-GB"/>
    </w:rPr>
    <w:tblPr>
      <w:tblBorders>
        <w:top w:val="single" w:sz="4" w:space="0" w:color="62CAE3"/>
        <w:left w:val="single" w:sz="4" w:space="0" w:color="62CAE3"/>
        <w:bottom w:val="single" w:sz="4" w:space="0" w:color="62CAE3"/>
        <w:right w:val="single" w:sz="4" w:space="0" w:color="62CAE3"/>
        <w:insideH w:val="single" w:sz="4" w:space="0" w:color="62CAE3"/>
        <w:insideV w:val="single" w:sz="4" w:space="0" w:color="62CAE3"/>
      </w:tblBorders>
    </w:tblPr>
    <w:tblStylePr w:type="firstRow">
      <w:rPr>
        <w:rFonts w:ascii="Trebuchet MS" w:hAnsi="Trebuchet MS" w:cs="Times New Roman"/>
        <w:b/>
        <w:color w:val="FFFFFF" w:themeColor="background1"/>
        <w:sz w:val="20"/>
      </w:rPr>
      <w:tblPr/>
      <w:tcPr>
        <w:tcBorders>
          <w:insideH w:val="single" w:sz="4" w:space="0" w:color="FFFFFF" w:themeColor="background1"/>
          <w:insideV w:val="single" w:sz="4" w:space="0" w:color="FFFFFF" w:themeColor="background1"/>
        </w:tcBorders>
        <w:shd w:val="clear" w:color="auto" w:fill="62CAE3"/>
      </w:tcPr>
    </w:tblStylePr>
  </w:style>
  <w:style w:type="paragraph" w:customStyle="1" w:styleId="BDOBodyText">
    <w:name w:val="BDO_Body Text"/>
    <w:basedOn w:val="Normal"/>
    <w:rsid w:val="001578CF"/>
    <w:pPr>
      <w:spacing w:after="140" w:line="280" w:lineRule="atLeast"/>
    </w:pPr>
    <w:rPr>
      <w:szCs w:val="24"/>
      <w:lang w:val="en-GB" w:eastAsia="en-GB"/>
    </w:rPr>
  </w:style>
  <w:style w:type="paragraph" w:customStyle="1" w:styleId="BDOHeadingOne">
    <w:name w:val="BDO_Heading One"/>
    <w:basedOn w:val="Normal"/>
    <w:rsid w:val="001578CF"/>
    <w:pPr>
      <w:keepNext/>
      <w:spacing w:before="120" w:line="280" w:lineRule="atLeast"/>
      <w:outlineLvl w:val="0"/>
    </w:pPr>
    <w:rPr>
      <w:b/>
      <w:sz w:val="28"/>
      <w:szCs w:val="24"/>
      <w:lang w:val="en-GB" w:eastAsia="en-GB"/>
    </w:rPr>
  </w:style>
  <w:style w:type="character" w:styleId="IntenseReference">
    <w:name w:val="Intense Reference"/>
    <w:basedOn w:val="DefaultParagraphFont"/>
    <w:uiPriority w:val="32"/>
    <w:qFormat/>
    <w:rsid w:val="001578CF"/>
    <w:rPr>
      <w:rFonts w:cs="Times New Roman"/>
      <w:b/>
      <w:bCs/>
      <w:smallCaps/>
      <w:color w:val="02A5E2" w:themeColor="accent1"/>
      <w:spacing w:val="5"/>
    </w:rPr>
  </w:style>
  <w:style w:type="paragraph" w:styleId="NoSpacing">
    <w:name w:val="No Spacing"/>
    <w:uiPriority w:val="1"/>
    <w:qFormat/>
    <w:rsid w:val="001578CF"/>
    <w:pPr>
      <w:spacing w:after="0" w:line="240" w:lineRule="auto"/>
      <w:jc w:val="both"/>
    </w:pPr>
    <w:rPr>
      <w:rFonts w:ascii="Trebuchet MS" w:hAnsi="Trebuchet MS" w:cs="Times New Roman"/>
      <w:kern w:val="16"/>
      <w:sz w:val="20"/>
      <w:szCs w:val="20"/>
      <w:lang w:val="en-GB" w:eastAsia="en-GB"/>
    </w:rPr>
  </w:style>
  <w:style w:type="character" w:styleId="SubtleEmphasis">
    <w:name w:val="Subtle Emphasis"/>
    <w:basedOn w:val="DefaultParagraphFont"/>
    <w:uiPriority w:val="19"/>
    <w:qFormat/>
    <w:rsid w:val="001578CF"/>
    <w:rPr>
      <w:rFonts w:cs="Times New Roman"/>
      <w:i/>
      <w:iCs/>
      <w:color w:val="6F6F6F" w:themeColor="text1" w:themeTint="BF"/>
    </w:rPr>
  </w:style>
  <w:style w:type="character" w:styleId="Emphasis">
    <w:name w:val="Emphasis"/>
    <w:basedOn w:val="DefaultParagraphFont"/>
    <w:uiPriority w:val="20"/>
    <w:qFormat/>
    <w:rsid w:val="001578CF"/>
    <w:rPr>
      <w:rFonts w:cs="Times New Roman"/>
      <w:i/>
      <w:iCs/>
    </w:rPr>
  </w:style>
  <w:style w:type="paragraph" w:styleId="Revision">
    <w:name w:val="Revision"/>
    <w:hidden/>
    <w:uiPriority w:val="99"/>
    <w:semiHidden/>
    <w:rsid w:val="00B56442"/>
    <w:pPr>
      <w:spacing w:after="0" w:line="240" w:lineRule="auto"/>
    </w:pPr>
    <w:rPr>
      <w:rFonts w:ascii="Trebuchet MS" w:hAnsi="Trebuchet MS" w:cs="Times New Roman"/>
      <w:sz w:val="20"/>
      <w:lang w:val="en-US" w:eastAsia="en-US"/>
    </w:rPr>
  </w:style>
  <w:style w:type="paragraph" w:customStyle="1" w:styleId="bodynumbered0">
    <w:name w:val="body numbered"/>
    <w:basedOn w:val="Normal"/>
    <w:rsid w:val="003A7865"/>
    <w:pPr>
      <w:tabs>
        <w:tab w:val="num" w:pos="432"/>
      </w:tabs>
      <w:spacing w:after="140" w:line="280" w:lineRule="exact"/>
      <w:ind w:left="432" w:hanging="432"/>
    </w:pPr>
    <w:rPr>
      <w:szCs w:val="20"/>
      <w:lang w:val="en-GB"/>
    </w:rPr>
  </w:style>
  <w:style w:type="paragraph" w:customStyle="1" w:styleId="BDONormal">
    <w:name w:val="BDO_Normal"/>
    <w:link w:val="BDONormalChar"/>
    <w:rsid w:val="00B26220"/>
    <w:pPr>
      <w:spacing w:after="0" w:line="240" w:lineRule="auto"/>
    </w:pPr>
    <w:rPr>
      <w:rFonts w:ascii="Trebuchet MS" w:hAnsi="Trebuchet MS" w:cstheme="minorBidi"/>
      <w:sz w:val="20"/>
      <w:szCs w:val="24"/>
      <w:lang w:val="en-GB" w:eastAsia="en-GB"/>
    </w:rPr>
  </w:style>
  <w:style w:type="character" w:customStyle="1" w:styleId="BDONormalChar">
    <w:name w:val="BDO_Normal Char"/>
    <w:basedOn w:val="DefaultParagraphFont"/>
    <w:link w:val="BDONormal"/>
    <w:rsid w:val="00B26220"/>
    <w:rPr>
      <w:rFonts w:ascii="Trebuchet MS" w:hAnsi="Trebuchet MS" w:cstheme="minorBidi"/>
      <w:sz w:val="20"/>
      <w:szCs w:val="24"/>
      <w:lang w:val="en-GB" w:eastAsia="en-GB"/>
    </w:rPr>
  </w:style>
  <w:style w:type="table" w:styleId="GridTable5Dark-Accent2">
    <w:name w:val="Grid Table 5 Dark Accent 2"/>
    <w:basedOn w:val="TableNormal"/>
    <w:uiPriority w:val="50"/>
    <w:rsid w:val="00D929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6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863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863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863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8639" w:themeFill="accent2"/>
      </w:tcPr>
    </w:tblStylePr>
    <w:tblStylePr w:type="band1Vert">
      <w:tblPr/>
      <w:tcPr>
        <w:shd w:val="clear" w:color="auto" w:fill="F2CEAF" w:themeFill="accent2" w:themeFillTint="66"/>
      </w:tcPr>
    </w:tblStylePr>
    <w:tblStylePr w:type="band1Horz">
      <w:tblPr/>
      <w:tcPr>
        <w:shd w:val="clear" w:color="auto" w:fill="F2CEAF" w:themeFill="accent2" w:themeFillTint="66"/>
      </w:tcPr>
    </w:tblStylePr>
  </w:style>
  <w:style w:type="table" w:styleId="GridTable4-Accent2">
    <w:name w:val="Grid Table 4 Accent 2"/>
    <w:basedOn w:val="TableNormal"/>
    <w:uiPriority w:val="49"/>
    <w:rsid w:val="00D9290A"/>
    <w:pPr>
      <w:spacing w:after="0" w:line="240" w:lineRule="auto"/>
    </w:pPr>
    <w:tblPr>
      <w:tblStyleRowBandSize w:val="1"/>
      <w:tblStyleColBandSize w:val="1"/>
      <w:tblBorders>
        <w:top w:val="single" w:sz="4" w:space="0" w:color="EBB688" w:themeColor="accent2" w:themeTint="99"/>
        <w:left w:val="single" w:sz="4" w:space="0" w:color="EBB688" w:themeColor="accent2" w:themeTint="99"/>
        <w:bottom w:val="single" w:sz="4" w:space="0" w:color="EBB688" w:themeColor="accent2" w:themeTint="99"/>
        <w:right w:val="single" w:sz="4" w:space="0" w:color="EBB688" w:themeColor="accent2" w:themeTint="99"/>
        <w:insideH w:val="single" w:sz="4" w:space="0" w:color="EBB688" w:themeColor="accent2" w:themeTint="99"/>
        <w:insideV w:val="single" w:sz="4" w:space="0" w:color="EBB688" w:themeColor="accent2" w:themeTint="99"/>
      </w:tblBorders>
    </w:tblPr>
    <w:tblStylePr w:type="firstRow">
      <w:rPr>
        <w:b/>
        <w:bCs/>
        <w:color w:val="FFFFFF" w:themeColor="background1"/>
      </w:rPr>
      <w:tblPr/>
      <w:tcPr>
        <w:tcBorders>
          <w:top w:val="single" w:sz="4" w:space="0" w:color="DF8639" w:themeColor="accent2"/>
          <w:left w:val="single" w:sz="4" w:space="0" w:color="DF8639" w:themeColor="accent2"/>
          <w:bottom w:val="single" w:sz="4" w:space="0" w:color="DF8639" w:themeColor="accent2"/>
          <w:right w:val="single" w:sz="4" w:space="0" w:color="DF8639" w:themeColor="accent2"/>
          <w:insideH w:val="nil"/>
          <w:insideV w:val="nil"/>
        </w:tcBorders>
        <w:shd w:val="clear" w:color="auto" w:fill="DF8639" w:themeFill="accent2"/>
      </w:tcPr>
    </w:tblStylePr>
    <w:tblStylePr w:type="lastRow">
      <w:rPr>
        <w:b/>
        <w:bCs/>
      </w:rPr>
      <w:tblPr/>
      <w:tcPr>
        <w:tcBorders>
          <w:top w:val="double" w:sz="4" w:space="0" w:color="DF8639" w:themeColor="accent2"/>
        </w:tcBorders>
      </w:tcPr>
    </w:tblStylePr>
    <w:tblStylePr w:type="firstCol">
      <w:rPr>
        <w:b/>
        <w:bCs/>
      </w:rPr>
    </w:tblStylePr>
    <w:tblStylePr w:type="lastCol">
      <w:rPr>
        <w:b/>
        <w:bCs/>
      </w:rPr>
    </w:tblStylePr>
    <w:tblStylePr w:type="band1Vert">
      <w:tblPr/>
      <w:tcPr>
        <w:shd w:val="clear" w:color="auto" w:fill="F8E6D7" w:themeFill="accent2" w:themeFillTint="33"/>
      </w:tcPr>
    </w:tblStylePr>
    <w:tblStylePr w:type="band1Horz">
      <w:tblPr/>
      <w:tcPr>
        <w:shd w:val="clear" w:color="auto" w:fill="F8E6D7" w:themeFill="accent2" w:themeFillTint="33"/>
      </w:tcPr>
    </w:tblStylePr>
  </w:style>
  <w:style w:type="table" w:styleId="MediumList2-Accent1">
    <w:name w:val="Medium List 2 Accent 1"/>
    <w:basedOn w:val="TableNormal"/>
    <w:uiPriority w:val="66"/>
    <w:rsid w:val="00020F21"/>
    <w:pPr>
      <w:spacing w:after="0" w:line="240" w:lineRule="auto"/>
    </w:pPr>
    <w:rPr>
      <w:rFonts w:asciiTheme="majorHAnsi" w:eastAsiaTheme="majorEastAsia" w:hAnsiTheme="majorHAnsi" w:cstheme="majorBidi"/>
      <w:color w:val="404040" w:themeColor="text1"/>
      <w:lang w:val="en-US" w:eastAsia="en-US"/>
    </w:rPr>
    <w:tblPr>
      <w:tblStyleRowBandSize w:val="1"/>
      <w:tblStyleColBandSize w:val="1"/>
      <w:tblBorders>
        <w:top w:val="single" w:sz="8" w:space="0" w:color="02A5E2" w:themeColor="accent1"/>
        <w:left w:val="single" w:sz="8" w:space="0" w:color="02A5E2" w:themeColor="accent1"/>
        <w:bottom w:val="single" w:sz="8" w:space="0" w:color="02A5E2" w:themeColor="accent1"/>
        <w:right w:val="single" w:sz="8" w:space="0" w:color="02A5E2" w:themeColor="accent1"/>
      </w:tblBorders>
    </w:tblPr>
    <w:tblStylePr w:type="firstRow">
      <w:rPr>
        <w:sz w:val="24"/>
        <w:szCs w:val="24"/>
      </w:rPr>
      <w:tblPr/>
      <w:tcPr>
        <w:tcBorders>
          <w:top w:val="nil"/>
          <w:left w:val="nil"/>
          <w:bottom w:val="single" w:sz="24" w:space="0" w:color="02A5E2" w:themeColor="accent1"/>
          <w:right w:val="nil"/>
          <w:insideH w:val="nil"/>
          <w:insideV w:val="nil"/>
        </w:tcBorders>
        <w:shd w:val="clear" w:color="auto" w:fill="FFFFFF" w:themeFill="background1"/>
      </w:tcPr>
    </w:tblStylePr>
    <w:tblStylePr w:type="lastRow">
      <w:tblPr/>
      <w:tcPr>
        <w:tcBorders>
          <w:top w:val="single" w:sz="8" w:space="0" w:color="02A5E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A5E2" w:themeColor="accent1"/>
          <w:insideH w:val="nil"/>
          <w:insideV w:val="nil"/>
        </w:tcBorders>
        <w:shd w:val="clear" w:color="auto" w:fill="FFFFFF" w:themeFill="background1"/>
      </w:tcPr>
    </w:tblStylePr>
    <w:tblStylePr w:type="lastCol">
      <w:tblPr/>
      <w:tcPr>
        <w:tcBorders>
          <w:top w:val="nil"/>
          <w:left w:val="single" w:sz="8" w:space="0" w:color="02A5E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BFE" w:themeFill="accent1" w:themeFillTint="3F"/>
      </w:tcPr>
    </w:tblStylePr>
    <w:tblStylePr w:type="band1Horz">
      <w:tblPr/>
      <w:tcPr>
        <w:tcBorders>
          <w:top w:val="nil"/>
          <w:bottom w:val="nil"/>
          <w:insideH w:val="nil"/>
          <w:insideV w:val="nil"/>
        </w:tcBorders>
        <w:shd w:val="clear" w:color="auto" w:fill="B9EBF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DOAddress">
    <w:name w:val="BDO_Address"/>
    <w:basedOn w:val="BDONormal"/>
    <w:rsid w:val="00086390"/>
    <w:pPr>
      <w:spacing w:line="170" w:lineRule="exact"/>
    </w:pPr>
    <w:rPr>
      <w:rFonts w:cs="Times New Roman"/>
      <w:color w:val="786860"/>
      <w:sz w:val="16"/>
    </w:rPr>
  </w:style>
  <w:style w:type="paragraph" w:customStyle="1" w:styleId="BDOAddressBold">
    <w:name w:val="BDO_Address (Bold)"/>
    <w:basedOn w:val="BDOAddress"/>
    <w:rsid w:val="00086390"/>
    <w:rPr>
      <w:b/>
    </w:rPr>
  </w:style>
  <w:style w:type="table" w:customStyle="1" w:styleId="TableGrid1">
    <w:name w:val="Table Grid1"/>
    <w:basedOn w:val="TableNormal"/>
    <w:next w:val="TableGrid"/>
    <w:rsid w:val="00086390"/>
    <w:pPr>
      <w:spacing w:after="0" w:line="240" w:lineRule="auto"/>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E5153"/>
    <w:rPr>
      <w:szCs w:val="20"/>
    </w:rPr>
  </w:style>
  <w:style w:type="character" w:customStyle="1" w:styleId="FootnoteTextChar">
    <w:name w:val="Footnote Text Char"/>
    <w:basedOn w:val="DefaultParagraphFont"/>
    <w:link w:val="FootnoteText"/>
    <w:uiPriority w:val="99"/>
    <w:rsid w:val="006E5153"/>
    <w:rPr>
      <w:rFonts w:ascii="Trebuchet MS" w:hAnsi="Trebuchet MS" w:cs="Times New Roman"/>
      <w:sz w:val="20"/>
      <w:szCs w:val="20"/>
      <w:lang w:val="en-US" w:eastAsia="en-US"/>
    </w:rPr>
  </w:style>
  <w:style w:type="character" w:styleId="FootnoteReference">
    <w:name w:val="footnote reference"/>
    <w:basedOn w:val="DefaultParagraphFont"/>
    <w:uiPriority w:val="99"/>
    <w:unhideWhenUsed/>
    <w:rsid w:val="006E5153"/>
    <w:rPr>
      <w:vertAlign w:val="superscript"/>
    </w:rPr>
  </w:style>
  <w:style w:type="paragraph" w:customStyle="1" w:styleId="Alnostext">
    <w:name w:val="Alnos text"/>
    <w:basedOn w:val="Normal"/>
    <w:link w:val="AlnostextChar"/>
    <w:rsid w:val="00A04A78"/>
    <w:pPr>
      <w:spacing w:before="120" w:after="120"/>
      <w:jc w:val="both"/>
    </w:pPr>
    <w:rPr>
      <w:rFonts w:ascii="Arial" w:hAnsi="Arial"/>
      <w:szCs w:val="24"/>
    </w:rPr>
  </w:style>
  <w:style w:type="character" w:customStyle="1" w:styleId="AlnostextChar">
    <w:name w:val="Alnos text Char"/>
    <w:link w:val="Alnostext"/>
    <w:rsid w:val="00A04A78"/>
    <w:rPr>
      <w:rFonts w:ascii="Arial" w:hAnsi="Arial" w:cs="Times New Roman"/>
      <w:sz w:val="20"/>
      <w:szCs w:val="24"/>
      <w:lang w:val="en-US" w:eastAsia="en-US"/>
    </w:rPr>
  </w:style>
  <w:style w:type="character" w:styleId="Strong">
    <w:name w:val="Strong"/>
    <w:basedOn w:val="DefaultParagraphFont"/>
    <w:uiPriority w:val="99"/>
    <w:qFormat/>
    <w:rsid w:val="00A04A78"/>
    <w:rPr>
      <w:b/>
      <w:bCs/>
    </w:rPr>
  </w:style>
  <w:style w:type="paragraph" w:customStyle="1" w:styleId="DisclaimerTextMS">
    <w:name w:val="Disclaimer Text MS"/>
    <w:basedOn w:val="Normal"/>
    <w:qFormat/>
    <w:rsid w:val="00753D70"/>
    <w:pPr>
      <w:spacing w:before="200" w:line="264" w:lineRule="auto"/>
    </w:pPr>
    <w:rPr>
      <w:rFonts w:ascii="Segoe Condensed" w:eastAsiaTheme="minorHAnsi" w:hAnsi="Segoe Condensed" w:cstheme="minorBidi"/>
      <w:color w:val="525051"/>
      <w:sz w:val="18"/>
      <w:szCs w:val="20"/>
    </w:rPr>
  </w:style>
  <w:style w:type="table" w:customStyle="1" w:styleId="BDO">
    <w:name w:val="BDO"/>
    <w:basedOn w:val="TableNormal"/>
    <w:uiPriority w:val="99"/>
    <w:rsid w:val="00753D70"/>
    <w:pPr>
      <w:spacing w:after="0" w:line="240" w:lineRule="auto"/>
    </w:pPr>
    <w:rPr>
      <w:rFonts w:eastAsiaTheme="minorHAnsi" w:cstheme="minorBidi"/>
      <w:lang w:val="en-US" w:eastAsia="en-US"/>
    </w:rPr>
    <w:tblPr/>
  </w:style>
  <w:style w:type="table" w:customStyle="1" w:styleId="BDO-Teal">
    <w:name w:val="BDO-Teal"/>
    <w:basedOn w:val="LightList-Accent5"/>
    <w:uiPriority w:val="99"/>
    <w:qFormat/>
    <w:rsid w:val="00753D70"/>
    <w:rPr>
      <w:rFonts w:ascii="Trebuchet MS" w:eastAsia="Calibri" w:hAnsi="Trebuchet MS" w:cs="Times New Roman"/>
      <w:sz w:val="20"/>
      <w:szCs w:val="20"/>
      <w:lang w:val="en-GB" w:eastAsia="en-GB"/>
    </w:rPr>
    <w:tblPr>
      <w:tblBorders>
        <w:top w:val="single" w:sz="4" w:space="0" w:color="2EB0A4"/>
        <w:left w:val="single" w:sz="4" w:space="0" w:color="2EB0A4"/>
        <w:bottom w:val="single" w:sz="4" w:space="0" w:color="2EB0A4"/>
        <w:right w:val="single" w:sz="4" w:space="0" w:color="2EB0A4"/>
        <w:insideH w:val="single" w:sz="4" w:space="0" w:color="2EB0A4"/>
        <w:insideV w:val="single" w:sz="4" w:space="0" w:color="2EB0A4"/>
      </w:tblBorders>
      <w:tblCellMar>
        <w:top w:w="57" w:type="dxa"/>
        <w:bottom w:w="57" w:type="dxa"/>
      </w:tblCellMar>
    </w:tblPr>
    <w:tcPr>
      <w:shd w:val="clear" w:color="auto" w:fill="auto"/>
    </w:tcPr>
    <w:tblStylePr w:type="firstRow">
      <w:pPr>
        <w:spacing w:before="0" w:after="0" w:line="240" w:lineRule="auto"/>
      </w:pPr>
      <w:rPr>
        <w:b/>
        <w:bCs/>
        <w:color w:val="FFFFFF" w:themeColor="background1"/>
      </w:rPr>
      <w:tblPr/>
      <w:tcPr>
        <w:shd w:val="clear" w:color="auto" w:fill="2EB0A4"/>
      </w:tcPr>
    </w:tblStylePr>
    <w:tblStylePr w:type="lastRow">
      <w:pPr>
        <w:spacing w:before="0" w:after="0" w:line="240" w:lineRule="auto"/>
      </w:pPr>
      <w:rPr>
        <w:b/>
        <w:bCs/>
      </w:rPr>
      <w:tblPr/>
      <w:tcPr>
        <w:tcBorders>
          <w:top w:val="single" w:sz="8" w:space="0" w:color="2EB0A4"/>
          <w:left w:val="single" w:sz="8" w:space="0" w:color="2EB0A4"/>
          <w:bottom w:val="single" w:sz="8" w:space="0" w:color="2EB0A4"/>
          <w:right w:val="single" w:sz="8" w:space="0" w:color="2EB0A4"/>
          <w:insideV w:val="single" w:sz="8" w:space="0" w:color="2EB0A4"/>
        </w:tcBorders>
        <w:shd w:val="clear" w:color="auto" w:fill="auto"/>
      </w:tcPr>
    </w:tblStylePr>
    <w:tblStylePr w:type="firstCol">
      <w:rPr>
        <w:b/>
        <w:bCs/>
      </w:rPr>
    </w:tblStylePr>
    <w:tblStylePr w:type="lastCol">
      <w:rPr>
        <w:b/>
        <w:bCs/>
      </w:rPr>
    </w:tblStylePr>
    <w:tblStylePr w:type="band1Vert">
      <w:tblPr/>
      <w:tcPr>
        <w:tcBorders>
          <w:top w:val="single" w:sz="8" w:space="0" w:color="E7E7E7" w:themeColor="accent5"/>
          <w:left w:val="single" w:sz="8" w:space="0" w:color="E7E7E7" w:themeColor="accent5"/>
          <w:bottom w:val="single" w:sz="8" w:space="0" w:color="E7E7E7" w:themeColor="accent5"/>
          <w:right w:val="single" w:sz="8" w:space="0" w:color="E7E7E7" w:themeColor="accent5"/>
        </w:tcBorders>
      </w:tcPr>
    </w:tblStylePr>
    <w:tblStylePr w:type="band1Horz">
      <w:tblPr/>
      <w:tcPr>
        <w:tcBorders>
          <w:top w:val="single" w:sz="8" w:space="0" w:color="E7E7E7" w:themeColor="accent5"/>
          <w:left w:val="single" w:sz="8" w:space="0" w:color="E7E7E7" w:themeColor="accent5"/>
          <w:bottom w:val="single" w:sz="8" w:space="0" w:color="E7E7E7" w:themeColor="accent5"/>
          <w:right w:val="single" w:sz="8" w:space="0" w:color="E7E7E7" w:themeColor="accent5"/>
        </w:tcBorders>
      </w:tcPr>
    </w:tblStylePr>
  </w:style>
  <w:style w:type="table" w:styleId="LightList-Accent5">
    <w:name w:val="Light List Accent 5"/>
    <w:basedOn w:val="TableNormal"/>
    <w:uiPriority w:val="61"/>
    <w:semiHidden/>
    <w:unhideWhenUsed/>
    <w:rsid w:val="00753D70"/>
    <w:pPr>
      <w:spacing w:after="0" w:line="240" w:lineRule="auto"/>
    </w:pPr>
    <w:rPr>
      <w:rFonts w:eastAsiaTheme="minorHAnsi" w:cstheme="minorBidi"/>
      <w:lang w:val="en-US" w:eastAsia="en-US"/>
    </w:rPr>
    <w:tblPr>
      <w:tblStyleRowBandSize w:val="1"/>
      <w:tblStyleColBandSize w:val="1"/>
      <w:tblBorders>
        <w:top w:val="single" w:sz="8" w:space="0" w:color="E7E7E7" w:themeColor="accent5"/>
        <w:left w:val="single" w:sz="8" w:space="0" w:color="E7E7E7" w:themeColor="accent5"/>
        <w:bottom w:val="single" w:sz="8" w:space="0" w:color="E7E7E7" w:themeColor="accent5"/>
        <w:right w:val="single" w:sz="8" w:space="0" w:color="E7E7E7" w:themeColor="accent5"/>
      </w:tblBorders>
    </w:tblPr>
    <w:tblStylePr w:type="firstRow">
      <w:pPr>
        <w:spacing w:before="0" w:after="0" w:line="240" w:lineRule="auto"/>
      </w:pPr>
      <w:rPr>
        <w:b/>
        <w:bCs/>
        <w:color w:val="FFFFFF" w:themeColor="background1"/>
      </w:rPr>
      <w:tblPr/>
      <w:tcPr>
        <w:shd w:val="clear" w:color="auto" w:fill="E7E7E7" w:themeFill="accent5"/>
      </w:tcPr>
    </w:tblStylePr>
    <w:tblStylePr w:type="lastRow">
      <w:pPr>
        <w:spacing w:before="0" w:after="0" w:line="240" w:lineRule="auto"/>
      </w:pPr>
      <w:rPr>
        <w:b/>
        <w:bCs/>
      </w:rPr>
      <w:tblPr/>
      <w:tcPr>
        <w:tcBorders>
          <w:top w:val="double" w:sz="6" w:space="0" w:color="E7E7E7" w:themeColor="accent5"/>
          <w:left w:val="single" w:sz="8" w:space="0" w:color="E7E7E7" w:themeColor="accent5"/>
          <w:bottom w:val="single" w:sz="8" w:space="0" w:color="E7E7E7" w:themeColor="accent5"/>
          <w:right w:val="single" w:sz="8" w:space="0" w:color="E7E7E7" w:themeColor="accent5"/>
        </w:tcBorders>
      </w:tcPr>
    </w:tblStylePr>
    <w:tblStylePr w:type="firstCol">
      <w:rPr>
        <w:b/>
        <w:bCs/>
      </w:rPr>
    </w:tblStylePr>
    <w:tblStylePr w:type="lastCol">
      <w:rPr>
        <w:b/>
        <w:bCs/>
      </w:rPr>
    </w:tblStylePr>
    <w:tblStylePr w:type="band1Vert">
      <w:tblPr/>
      <w:tcPr>
        <w:tcBorders>
          <w:top w:val="single" w:sz="8" w:space="0" w:color="E7E7E7" w:themeColor="accent5"/>
          <w:left w:val="single" w:sz="8" w:space="0" w:color="E7E7E7" w:themeColor="accent5"/>
          <w:bottom w:val="single" w:sz="8" w:space="0" w:color="E7E7E7" w:themeColor="accent5"/>
          <w:right w:val="single" w:sz="8" w:space="0" w:color="E7E7E7" w:themeColor="accent5"/>
        </w:tcBorders>
      </w:tcPr>
    </w:tblStylePr>
    <w:tblStylePr w:type="band1Horz">
      <w:tblPr/>
      <w:tcPr>
        <w:tcBorders>
          <w:top w:val="single" w:sz="8" w:space="0" w:color="E7E7E7" w:themeColor="accent5"/>
          <w:left w:val="single" w:sz="8" w:space="0" w:color="E7E7E7" w:themeColor="accent5"/>
          <w:bottom w:val="single" w:sz="8" w:space="0" w:color="E7E7E7" w:themeColor="accent5"/>
          <w:right w:val="single" w:sz="8" w:space="0" w:color="E7E7E7" w:themeColor="accent5"/>
        </w:tcBorders>
      </w:tcPr>
    </w:tblStylePr>
  </w:style>
  <w:style w:type="paragraph" w:customStyle="1" w:styleId="ListParagraph1">
    <w:name w:val="List Paragraph1"/>
    <w:basedOn w:val="Normal"/>
    <w:rsid w:val="00753D70"/>
    <w:pPr>
      <w:ind w:left="720"/>
    </w:pPr>
    <w:rPr>
      <w:rFonts w:cs="Trebuchet MS"/>
      <w:szCs w:val="20"/>
      <w:lang w:val="nl-NL" w:eastAsia="nl-NL"/>
    </w:rPr>
  </w:style>
  <w:style w:type="paragraph" w:customStyle="1" w:styleId="RequirementID">
    <w:name w:val="RequirementID"/>
    <w:basedOn w:val="Normal"/>
    <w:qFormat/>
    <w:rsid w:val="00753D70"/>
    <w:rPr>
      <w:rFonts w:ascii="Arial" w:hAnsi="Arial"/>
      <w:b/>
      <w:noProof/>
      <w:szCs w:val="20"/>
      <w:lang w:val="nl-NL" w:eastAsia="nl-NL"/>
    </w:rPr>
  </w:style>
  <w:style w:type="paragraph" w:customStyle="1" w:styleId="BDOBodytext0">
    <w:name w:val="BDO_Body text"/>
    <w:basedOn w:val="NormalafterH3"/>
    <w:qFormat/>
    <w:rsid w:val="002225A0"/>
  </w:style>
  <w:style w:type="paragraph" w:customStyle="1" w:styleId="BDOBullet1Grey">
    <w:name w:val="BDO_Bullet 1 Grey"/>
    <w:basedOn w:val="Normal"/>
    <w:uiPriority w:val="4"/>
    <w:qFormat/>
    <w:rsid w:val="00753D70"/>
    <w:pPr>
      <w:numPr>
        <w:numId w:val="3"/>
      </w:numPr>
      <w:spacing w:after="40" w:line="280" w:lineRule="atLeast"/>
    </w:pPr>
    <w:rPr>
      <w:rFonts w:cs="Arial"/>
      <w:color w:val="685040"/>
      <w:szCs w:val="20"/>
      <w:lang w:val="en-AU" w:eastAsia="en-AU"/>
    </w:rPr>
  </w:style>
  <w:style w:type="character" w:customStyle="1" w:styleId="NormalWebChar">
    <w:name w:val="Normal (Web) Char"/>
    <w:basedOn w:val="DefaultParagraphFont"/>
    <w:link w:val="NormalWeb"/>
    <w:uiPriority w:val="99"/>
    <w:rsid w:val="00753D70"/>
    <w:rPr>
      <w:rFonts w:ascii="Times New Roman" w:hAnsi="Times New Roman" w:cs="Times New Roman"/>
      <w:sz w:val="24"/>
      <w:szCs w:val="24"/>
      <w:lang w:val="en-US" w:eastAsia="en-US"/>
    </w:rPr>
  </w:style>
  <w:style w:type="character" w:customStyle="1" w:styleId="ListParagraphChar">
    <w:name w:val="List Paragraph Char"/>
    <w:aliases w:val="Num Bullet 1 Char,Bullet Number Char"/>
    <w:basedOn w:val="DefaultParagraphFont"/>
    <w:link w:val="ListParagraph"/>
    <w:uiPriority w:val="34"/>
    <w:locked/>
    <w:rsid w:val="00753D70"/>
    <w:rPr>
      <w:rFonts w:ascii="Trebuchet MS" w:hAnsi="Trebuchet MS" w:cs="Times New Roman"/>
      <w:kern w:val="16"/>
      <w:sz w:val="20"/>
      <w:szCs w:val="20"/>
      <w:lang w:val="en-GB" w:eastAsia="en-GB"/>
    </w:rPr>
  </w:style>
  <w:style w:type="numbering" w:customStyle="1" w:styleId="NumberedListTable">
    <w:name w:val="Numbered List Table"/>
    <w:basedOn w:val="NoList"/>
    <w:rsid w:val="00753D70"/>
    <w:pPr>
      <w:numPr>
        <w:numId w:val="4"/>
      </w:numPr>
    </w:pPr>
  </w:style>
  <w:style w:type="paragraph" w:customStyle="1" w:styleId="CoverSubject">
    <w:name w:val="Cover Subject"/>
    <w:basedOn w:val="Normal"/>
    <w:uiPriority w:val="99"/>
    <w:rsid w:val="00753D70"/>
    <w:pPr>
      <w:spacing w:before="120" w:after="600"/>
      <w:ind w:left="-720"/>
    </w:pPr>
    <w:rPr>
      <w:rFonts w:ascii="Segoe UI" w:eastAsiaTheme="minorEastAsia" w:hAnsi="Segoe UI" w:cstheme="minorBidi"/>
      <w:color w:val="008AC8"/>
      <w:sz w:val="36"/>
    </w:rPr>
  </w:style>
  <w:style w:type="character" w:customStyle="1" w:styleId="CaptionChar">
    <w:name w:val="Caption Char"/>
    <w:aliases w:val="Picture - Caption Char"/>
    <w:basedOn w:val="DefaultParagraphFont"/>
    <w:link w:val="Caption"/>
    <w:uiPriority w:val="35"/>
    <w:locked/>
    <w:rsid w:val="00BD3A74"/>
    <w:rPr>
      <w:rFonts w:ascii="Trebuchet MS" w:hAnsi="Trebuchet MS" w:cs="Times New Roman"/>
      <w:b/>
      <w:bCs/>
      <w:i/>
      <w:color w:val="657C91" w:themeColor="accent4"/>
      <w:sz w:val="16"/>
      <w:szCs w:val="18"/>
      <w:lang w:val="en-US" w:eastAsia="en-US"/>
    </w:rPr>
  </w:style>
  <w:style w:type="character" w:styleId="IntenseEmphasis">
    <w:name w:val="Intense Emphasis"/>
    <w:basedOn w:val="DefaultParagraphFont"/>
    <w:uiPriority w:val="21"/>
    <w:qFormat/>
    <w:rsid w:val="00753D70"/>
    <w:rPr>
      <w:i/>
      <w:iCs/>
      <w:color w:val="02A5E2" w:themeColor="accent1"/>
    </w:rPr>
  </w:style>
  <w:style w:type="character" w:customStyle="1" w:styleId="required">
    <w:name w:val="required"/>
    <w:basedOn w:val="DefaultParagraphFont"/>
    <w:rsid w:val="00753D70"/>
  </w:style>
  <w:style w:type="paragraph" w:customStyle="1" w:styleId="Bodytext0">
    <w:name w:val="Body_text"/>
    <w:link w:val="BodytextChar0"/>
    <w:qFormat/>
    <w:rsid w:val="00753D70"/>
    <w:pPr>
      <w:spacing w:after="120" w:line="240" w:lineRule="auto"/>
      <w:ind w:left="851"/>
    </w:pPr>
    <w:rPr>
      <w:rFonts w:cs="Times New Roman"/>
      <w:color w:val="685040"/>
      <w:kern w:val="16"/>
      <w:sz w:val="20"/>
      <w:szCs w:val="24"/>
      <w:lang w:val="en-GB" w:eastAsia="en-GB"/>
    </w:rPr>
  </w:style>
  <w:style w:type="character" w:customStyle="1" w:styleId="BodytextChar0">
    <w:name w:val="Body_text Char"/>
    <w:basedOn w:val="DefaultParagraphFont"/>
    <w:link w:val="Bodytext0"/>
    <w:rsid w:val="00753D70"/>
    <w:rPr>
      <w:rFonts w:cs="Times New Roman"/>
      <w:color w:val="685040"/>
      <w:kern w:val="16"/>
      <w:sz w:val="20"/>
      <w:szCs w:val="24"/>
      <w:lang w:val="en-GB" w:eastAsia="en-GB"/>
    </w:rPr>
  </w:style>
  <w:style w:type="paragraph" w:customStyle="1" w:styleId="Tabletext">
    <w:name w:val="Table text"/>
    <w:basedOn w:val="Bodytext0"/>
    <w:uiPriority w:val="99"/>
    <w:qFormat/>
    <w:rsid w:val="00753D70"/>
    <w:pPr>
      <w:spacing w:before="60" w:after="60"/>
      <w:ind w:left="0"/>
    </w:pPr>
  </w:style>
  <w:style w:type="table" w:styleId="ListTable3-Accent3">
    <w:name w:val="List Table 3 Accent 3"/>
    <w:basedOn w:val="TableNormal"/>
    <w:uiPriority w:val="48"/>
    <w:rsid w:val="00753D70"/>
    <w:pPr>
      <w:spacing w:after="0" w:line="240" w:lineRule="auto"/>
    </w:pPr>
    <w:rPr>
      <w:rFonts w:eastAsiaTheme="minorHAnsi" w:cstheme="minorBidi"/>
      <w:lang w:val="en-GB" w:eastAsia="en-US"/>
    </w:rPr>
    <w:tblPr>
      <w:tblStyleRowBandSize w:val="1"/>
      <w:tblStyleColBandSize w:val="1"/>
      <w:tblBorders>
        <w:top w:val="single" w:sz="4" w:space="0" w:color="98002E" w:themeColor="accent3"/>
        <w:left w:val="single" w:sz="4" w:space="0" w:color="98002E" w:themeColor="accent3"/>
        <w:bottom w:val="single" w:sz="4" w:space="0" w:color="98002E" w:themeColor="accent3"/>
        <w:right w:val="single" w:sz="4" w:space="0" w:color="98002E" w:themeColor="accent3"/>
      </w:tblBorders>
    </w:tblPr>
    <w:tblStylePr w:type="firstRow">
      <w:rPr>
        <w:b/>
        <w:bCs/>
        <w:color w:val="FFFFFF" w:themeColor="background1"/>
      </w:rPr>
      <w:tblPr/>
      <w:tcPr>
        <w:shd w:val="clear" w:color="auto" w:fill="98002E" w:themeFill="accent3"/>
      </w:tcPr>
    </w:tblStylePr>
    <w:tblStylePr w:type="lastRow">
      <w:rPr>
        <w:b/>
        <w:bCs/>
      </w:rPr>
      <w:tblPr/>
      <w:tcPr>
        <w:tcBorders>
          <w:top w:val="double" w:sz="4" w:space="0" w:color="98002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8002E" w:themeColor="accent3"/>
          <w:right w:val="single" w:sz="4" w:space="0" w:color="98002E" w:themeColor="accent3"/>
        </w:tcBorders>
      </w:tcPr>
    </w:tblStylePr>
    <w:tblStylePr w:type="band1Horz">
      <w:tblPr/>
      <w:tcPr>
        <w:tcBorders>
          <w:top w:val="single" w:sz="4" w:space="0" w:color="98002E" w:themeColor="accent3"/>
          <w:bottom w:val="single" w:sz="4" w:space="0" w:color="98002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8002E" w:themeColor="accent3"/>
          <w:left w:val="nil"/>
        </w:tcBorders>
      </w:tcPr>
    </w:tblStylePr>
    <w:tblStylePr w:type="swCell">
      <w:tblPr/>
      <w:tcPr>
        <w:tcBorders>
          <w:top w:val="double" w:sz="4" w:space="0" w:color="98002E" w:themeColor="accent3"/>
          <w:right w:val="nil"/>
        </w:tcBorders>
      </w:tcPr>
    </w:tblStylePr>
  </w:style>
  <w:style w:type="numbering" w:customStyle="1" w:styleId="Headings">
    <w:name w:val="Headings"/>
    <w:uiPriority w:val="99"/>
    <w:rsid w:val="00753D70"/>
    <w:pPr>
      <w:numPr>
        <w:numId w:val="5"/>
      </w:numPr>
    </w:pPr>
  </w:style>
  <w:style w:type="paragraph" w:customStyle="1" w:styleId="NormalafterH3">
    <w:name w:val="Normal after H3"/>
    <w:basedOn w:val="Normal"/>
    <w:link w:val="NormalafterH3Char"/>
    <w:qFormat/>
    <w:rsid w:val="00BD3A74"/>
    <w:pPr>
      <w:spacing w:after="160" w:line="259" w:lineRule="auto"/>
      <w:ind w:left="720"/>
    </w:pPr>
    <w:rPr>
      <w:rFonts w:eastAsiaTheme="minorHAnsi" w:cstheme="minorBidi"/>
      <w:sz w:val="22"/>
    </w:rPr>
  </w:style>
  <w:style w:type="character" w:customStyle="1" w:styleId="NormalafterH3Char">
    <w:name w:val="Normal after H3 Char"/>
    <w:basedOn w:val="DefaultParagraphFont"/>
    <w:link w:val="NormalafterH3"/>
    <w:rsid w:val="00BD3A74"/>
    <w:rPr>
      <w:rFonts w:ascii="Trebuchet MS" w:eastAsiaTheme="minorHAnsi" w:hAnsi="Trebuchet MS" w:cstheme="minorBidi"/>
      <w:lang w:val="en-US" w:eastAsia="en-US"/>
    </w:rPr>
  </w:style>
  <w:style w:type="character" w:customStyle="1" w:styleId="UnresolvedMention1">
    <w:name w:val="Unresolved Mention1"/>
    <w:basedOn w:val="DefaultParagraphFont"/>
    <w:uiPriority w:val="99"/>
    <w:semiHidden/>
    <w:unhideWhenUsed/>
    <w:rsid w:val="00753D70"/>
    <w:rPr>
      <w:color w:val="808080"/>
      <w:shd w:val="clear" w:color="auto" w:fill="E6E6E6"/>
    </w:rPr>
  </w:style>
  <w:style w:type="character" w:customStyle="1" w:styleId="TextRed">
    <w:name w:val="Text_Red"/>
    <w:basedOn w:val="DefaultParagraphFont"/>
    <w:uiPriority w:val="1"/>
    <w:qFormat/>
    <w:rsid w:val="001B6F36"/>
    <w:rPr>
      <w:color w:val="ED1A3B" w:themeColor="text2"/>
    </w:rPr>
  </w:style>
  <w:style w:type="table" w:customStyle="1" w:styleId="BDOTable">
    <w:name w:val="BDO Table"/>
    <w:basedOn w:val="TableNormal"/>
    <w:uiPriority w:val="99"/>
    <w:rsid w:val="00147FC0"/>
    <w:pPr>
      <w:spacing w:after="0" w:line="240" w:lineRule="auto"/>
    </w:pPr>
    <w:rPr>
      <w:rFonts w:eastAsiaTheme="minorHAnsi" w:cstheme="minorBidi"/>
      <w:lang w:val="en-GB" w:eastAsia="en-US"/>
    </w:rPr>
    <w:tblPr>
      <w:tblBorders>
        <w:insideH w:val="single" w:sz="4" w:space="0" w:color="ED1A3B" w:themeColor="text2"/>
      </w:tblBorders>
      <w:tblCellMar>
        <w:top w:w="57" w:type="dxa"/>
        <w:left w:w="57" w:type="dxa"/>
        <w:bottom w:w="57" w:type="dxa"/>
        <w:right w:w="57" w:type="dxa"/>
      </w:tblCellMar>
    </w:tblPr>
    <w:tcPr>
      <w:shd w:val="clear" w:color="auto" w:fill="auto"/>
    </w:tcPr>
    <w:tblStylePr w:type="firstRow">
      <w:rPr>
        <w:color w:val="FFFFFF" w:themeColor="background1"/>
      </w:rPr>
      <w:tblPr/>
      <w:trPr>
        <w:tblHeader/>
      </w:trPr>
      <w:tcPr>
        <w:tcBorders>
          <w:top w:val="single" w:sz="4" w:space="0" w:color="404040" w:themeColor="text1"/>
          <w:left w:val="single" w:sz="4" w:space="0" w:color="404040" w:themeColor="text1"/>
          <w:bottom w:val="single" w:sz="4" w:space="0" w:color="404040" w:themeColor="text1"/>
          <w:right w:val="single" w:sz="4" w:space="0" w:color="404040" w:themeColor="text1"/>
          <w:insideH w:val="nil"/>
          <w:insideV w:val="nil"/>
          <w:tl2br w:val="nil"/>
          <w:tr2bl w:val="nil"/>
        </w:tcBorders>
        <w:shd w:val="clear" w:color="auto" w:fill="404040" w:themeFill="text1"/>
      </w:tcPr>
    </w:tblStylePr>
  </w:style>
  <w:style w:type="paragraph" w:customStyle="1" w:styleId="SectionHeading">
    <w:name w:val="Section Heading"/>
    <w:qFormat/>
    <w:rsid w:val="0093134D"/>
    <w:pPr>
      <w:pageBreakBefore/>
      <w:numPr>
        <w:numId w:val="10"/>
      </w:numPr>
      <w:spacing w:after="1200" w:line="240" w:lineRule="auto"/>
      <w:ind w:left="851" w:hanging="851"/>
    </w:pPr>
    <w:rPr>
      <w:rFonts w:asciiTheme="majorHAnsi" w:eastAsiaTheme="majorEastAsia" w:hAnsiTheme="majorHAnsi" w:cs="Times New Roman"/>
      <w:b/>
      <w:caps/>
      <w:color w:val="ED1A3B" w:themeColor="text2"/>
      <w:kern w:val="16"/>
      <w:sz w:val="44"/>
      <w:szCs w:val="56"/>
      <w:lang w:val="en-GB" w:eastAsia="en-GB"/>
    </w:rPr>
  </w:style>
  <w:style w:type="paragraph" w:customStyle="1" w:styleId="Heading2">
    <w:name w:val="Heading_2"/>
    <w:basedOn w:val="Bodytext0"/>
    <w:uiPriority w:val="99"/>
    <w:qFormat/>
    <w:rsid w:val="0093134D"/>
    <w:pPr>
      <w:keepNext/>
      <w:numPr>
        <w:ilvl w:val="3"/>
        <w:numId w:val="10"/>
      </w:numPr>
      <w:spacing w:before="240"/>
      <w:ind w:left="851" w:hanging="851"/>
    </w:pPr>
    <w:rPr>
      <w:caps/>
      <w:color w:val="ED1A3B" w:themeColor="text2"/>
      <w:szCs w:val="22"/>
    </w:rPr>
  </w:style>
  <w:style w:type="paragraph" w:customStyle="1" w:styleId="Heading1">
    <w:name w:val="Heading_1"/>
    <w:basedOn w:val="Heading2"/>
    <w:uiPriority w:val="99"/>
    <w:qFormat/>
    <w:rsid w:val="0093134D"/>
    <w:pPr>
      <w:numPr>
        <w:ilvl w:val="2"/>
      </w:numPr>
      <w:ind w:left="851" w:hanging="851"/>
    </w:pPr>
    <w:rPr>
      <w:b/>
      <w:sz w:val="24"/>
    </w:rPr>
  </w:style>
  <w:style w:type="character" w:styleId="UnresolvedMention">
    <w:name w:val="Unresolved Mention"/>
    <w:basedOn w:val="DefaultParagraphFont"/>
    <w:uiPriority w:val="99"/>
    <w:semiHidden/>
    <w:unhideWhenUsed/>
    <w:rsid w:val="00DC2D4C"/>
    <w:rPr>
      <w:color w:val="605E5C"/>
      <w:shd w:val="clear" w:color="auto" w:fill="E1DFDD"/>
    </w:rPr>
  </w:style>
  <w:style w:type="table" w:customStyle="1" w:styleId="TableGrid2">
    <w:name w:val="Table Grid2"/>
    <w:basedOn w:val="TableNormal"/>
    <w:next w:val="TableGrid"/>
    <w:rsid w:val="00606D82"/>
    <w:pPr>
      <w:spacing w:after="0" w:line="240" w:lineRule="auto"/>
    </w:pPr>
    <w:rPr>
      <w:rFonts w:ascii="Times New Roman" w:hAnsi="Times New Roman"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80103">
      <w:marLeft w:val="0"/>
      <w:marRight w:val="0"/>
      <w:marTop w:val="0"/>
      <w:marBottom w:val="0"/>
      <w:divBdr>
        <w:top w:val="none" w:sz="0" w:space="0" w:color="auto"/>
        <w:left w:val="none" w:sz="0" w:space="0" w:color="auto"/>
        <w:bottom w:val="none" w:sz="0" w:space="0" w:color="auto"/>
        <w:right w:val="none" w:sz="0" w:space="0" w:color="auto"/>
      </w:divBdr>
    </w:div>
    <w:div w:id="57680104">
      <w:marLeft w:val="0"/>
      <w:marRight w:val="0"/>
      <w:marTop w:val="0"/>
      <w:marBottom w:val="0"/>
      <w:divBdr>
        <w:top w:val="none" w:sz="0" w:space="0" w:color="auto"/>
        <w:left w:val="none" w:sz="0" w:space="0" w:color="auto"/>
        <w:bottom w:val="none" w:sz="0" w:space="0" w:color="auto"/>
        <w:right w:val="none" w:sz="0" w:space="0" w:color="auto"/>
      </w:divBdr>
    </w:div>
    <w:div w:id="57680107">
      <w:marLeft w:val="0"/>
      <w:marRight w:val="0"/>
      <w:marTop w:val="0"/>
      <w:marBottom w:val="0"/>
      <w:divBdr>
        <w:top w:val="none" w:sz="0" w:space="0" w:color="auto"/>
        <w:left w:val="none" w:sz="0" w:space="0" w:color="auto"/>
        <w:bottom w:val="none" w:sz="0" w:space="0" w:color="auto"/>
        <w:right w:val="none" w:sz="0" w:space="0" w:color="auto"/>
      </w:divBdr>
      <w:divsChild>
        <w:div w:id="57680136">
          <w:marLeft w:val="446"/>
          <w:marRight w:val="0"/>
          <w:marTop w:val="67"/>
          <w:marBottom w:val="0"/>
          <w:divBdr>
            <w:top w:val="none" w:sz="0" w:space="0" w:color="auto"/>
            <w:left w:val="none" w:sz="0" w:space="0" w:color="auto"/>
            <w:bottom w:val="none" w:sz="0" w:space="0" w:color="auto"/>
            <w:right w:val="none" w:sz="0" w:space="0" w:color="auto"/>
          </w:divBdr>
        </w:div>
        <w:div w:id="57680140">
          <w:marLeft w:val="446"/>
          <w:marRight w:val="0"/>
          <w:marTop w:val="67"/>
          <w:marBottom w:val="0"/>
          <w:divBdr>
            <w:top w:val="none" w:sz="0" w:space="0" w:color="auto"/>
            <w:left w:val="none" w:sz="0" w:space="0" w:color="auto"/>
            <w:bottom w:val="none" w:sz="0" w:space="0" w:color="auto"/>
            <w:right w:val="none" w:sz="0" w:space="0" w:color="auto"/>
          </w:divBdr>
        </w:div>
      </w:divsChild>
    </w:div>
    <w:div w:id="57680108">
      <w:marLeft w:val="0"/>
      <w:marRight w:val="0"/>
      <w:marTop w:val="0"/>
      <w:marBottom w:val="0"/>
      <w:divBdr>
        <w:top w:val="none" w:sz="0" w:space="0" w:color="auto"/>
        <w:left w:val="none" w:sz="0" w:space="0" w:color="auto"/>
        <w:bottom w:val="none" w:sz="0" w:space="0" w:color="auto"/>
        <w:right w:val="none" w:sz="0" w:space="0" w:color="auto"/>
      </w:divBdr>
      <w:divsChild>
        <w:div w:id="57680125">
          <w:marLeft w:val="547"/>
          <w:marRight w:val="0"/>
          <w:marTop w:val="86"/>
          <w:marBottom w:val="0"/>
          <w:divBdr>
            <w:top w:val="none" w:sz="0" w:space="0" w:color="auto"/>
            <w:left w:val="none" w:sz="0" w:space="0" w:color="auto"/>
            <w:bottom w:val="none" w:sz="0" w:space="0" w:color="auto"/>
            <w:right w:val="none" w:sz="0" w:space="0" w:color="auto"/>
          </w:divBdr>
        </w:div>
      </w:divsChild>
    </w:div>
    <w:div w:id="57680111">
      <w:marLeft w:val="0"/>
      <w:marRight w:val="0"/>
      <w:marTop w:val="0"/>
      <w:marBottom w:val="0"/>
      <w:divBdr>
        <w:top w:val="none" w:sz="0" w:space="0" w:color="auto"/>
        <w:left w:val="none" w:sz="0" w:space="0" w:color="auto"/>
        <w:bottom w:val="none" w:sz="0" w:space="0" w:color="auto"/>
        <w:right w:val="none" w:sz="0" w:space="0" w:color="auto"/>
      </w:divBdr>
    </w:div>
    <w:div w:id="57680114">
      <w:marLeft w:val="0"/>
      <w:marRight w:val="0"/>
      <w:marTop w:val="0"/>
      <w:marBottom w:val="0"/>
      <w:divBdr>
        <w:top w:val="none" w:sz="0" w:space="0" w:color="auto"/>
        <w:left w:val="none" w:sz="0" w:space="0" w:color="auto"/>
        <w:bottom w:val="none" w:sz="0" w:space="0" w:color="auto"/>
        <w:right w:val="none" w:sz="0" w:space="0" w:color="auto"/>
      </w:divBdr>
      <w:divsChild>
        <w:div w:id="57680116">
          <w:marLeft w:val="446"/>
          <w:marRight w:val="0"/>
          <w:marTop w:val="67"/>
          <w:marBottom w:val="0"/>
          <w:divBdr>
            <w:top w:val="none" w:sz="0" w:space="0" w:color="auto"/>
            <w:left w:val="none" w:sz="0" w:space="0" w:color="auto"/>
            <w:bottom w:val="none" w:sz="0" w:space="0" w:color="auto"/>
            <w:right w:val="none" w:sz="0" w:space="0" w:color="auto"/>
          </w:divBdr>
        </w:div>
        <w:div w:id="57680135">
          <w:marLeft w:val="446"/>
          <w:marRight w:val="0"/>
          <w:marTop w:val="67"/>
          <w:marBottom w:val="0"/>
          <w:divBdr>
            <w:top w:val="none" w:sz="0" w:space="0" w:color="auto"/>
            <w:left w:val="none" w:sz="0" w:space="0" w:color="auto"/>
            <w:bottom w:val="none" w:sz="0" w:space="0" w:color="auto"/>
            <w:right w:val="none" w:sz="0" w:space="0" w:color="auto"/>
          </w:divBdr>
        </w:div>
      </w:divsChild>
    </w:div>
    <w:div w:id="57680115">
      <w:marLeft w:val="0"/>
      <w:marRight w:val="0"/>
      <w:marTop w:val="0"/>
      <w:marBottom w:val="0"/>
      <w:divBdr>
        <w:top w:val="none" w:sz="0" w:space="0" w:color="auto"/>
        <w:left w:val="none" w:sz="0" w:space="0" w:color="auto"/>
        <w:bottom w:val="none" w:sz="0" w:space="0" w:color="auto"/>
        <w:right w:val="none" w:sz="0" w:space="0" w:color="auto"/>
      </w:divBdr>
      <w:divsChild>
        <w:div w:id="57680105">
          <w:marLeft w:val="446"/>
          <w:marRight w:val="0"/>
          <w:marTop w:val="67"/>
          <w:marBottom w:val="0"/>
          <w:divBdr>
            <w:top w:val="none" w:sz="0" w:space="0" w:color="auto"/>
            <w:left w:val="none" w:sz="0" w:space="0" w:color="auto"/>
            <w:bottom w:val="none" w:sz="0" w:space="0" w:color="auto"/>
            <w:right w:val="none" w:sz="0" w:space="0" w:color="auto"/>
          </w:divBdr>
        </w:div>
        <w:div w:id="57680106">
          <w:marLeft w:val="979"/>
          <w:marRight w:val="0"/>
          <w:marTop w:val="67"/>
          <w:marBottom w:val="0"/>
          <w:divBdr>
            <w:top w:val="none" w:sz="0" w:space="0" w:color="auto"/>
            <w:left w:val="none" w:sz="0" w:space="0" w:color="auto"/>
            <w:bottom w:val="none" w:sz="0" w:space="0" w:color="auto"/>
            <w:right w:val="none" w:sz="0" w:space="0" w:color="auto"/>
          </w:divBdr>
        </w:div>
        <w:div w:id="57680110">
          <w:marLeft w:val="446"/>
          <w:marRight w:val="0"/>
          <w:marTop w:val="67"/>
          <w:marBottom w:val="0"/>
          <w:divBdr>
            <w:top w:val="none" w:sz="0" w:space="0" w:color="auto"/>
            <w:left w:val="none" w:sz="0" w:space="0" w:color="auto"/>
            <w:bottom w:val="none" w:sz="0" w:space="0" w:color="auto"/>
            <w:right w:val="none" w:sz="0" w:space="0" w:color="auto"/>
          </w:divBdr>
        </w:div>
        <w:div w:id="57680113">
          <w:marLeft w:val="979"/>
          <w:marRight w:val="0"/>
          <w:marTop w:val="67"/>
          <w:marBottom w:val="0"/>
          <w:divBdr>
            <w:top w:val="none" w:sz="0" w:space="0" w:color="auto"/>
            <w:left w:val="none" w:sz="0" w:space="0" w:color="auto"/>
            <w:bottom w:val="none" w:sz="0" w:space="0" w:color="auto"/>
            <w:right w:val="none" w:sz="0" w:space="0" w:color="auto"/>
          </w:divBdr>
        </w:div>
        <w:div w:id="57680119">
          <w:marLeft w:val="446"/>
          <w:marRight w:val="0"/>
          <w:marTop w:val="67"/>
          <w:marBottom w:val="0"/>
          <w:divBdr>
            <w:top w:val="none" w:sz="0" w:space="0" w:color="auto"/>
            <w:left w:val="none" w:sz="0" w:space="0" w:color="auto"/>
            <w:bottom w:val="none" w:sz="0" w:space="0" w:color="auto"/>
            <w:right w:val="none" w:sz="0" w:space="0" w:color="auto"/>
          </w:divBdr>
        </w:div>
        <w:div w:id="57680123">
          <w:marLeft w:val="979"/>
          <w:marRight w:val="0"/>
          <w:marTop w:val="67"/>
          <w:marBottom w:val="0"/>
          <w:divBdr>
            <w:top w:val="none" w:sz="0" w:space="0" w:color="auto"/>
            <w:left w:val="none" w:sz="0" w:space="0" w:color="auto"/>
            <w:bottom w:val="none" w:sz="0" w:space="0" w:color="auto"/>
            <w:right w:val="none" w:sz="0" w:space="0" w:color="auto"/>
          </w:divBdr>
        </w:div>
        <w:div w:id="57680130">
          <w:marLeft w:val="979"/>
          <w:marRight w:val="0"/>
          <w:marTop w:val="67"/>
          <w:marBottom w:val="0"/>
          <w:divBdr>
            <w:top w:val="none" w:sz="0" w:space="0" w:color="auto"/>
            <w:left w:val="none" w:sz="0" w:space="0" w:color="auto"/>
            <w:bottom w:val="none" w:sz="0" w:space="0" w:color="auto"/>
            <w:right w:val="none" w:sz="0" w:space="0" w:color="auto"/>
          </w:divBdr>
        </w:div>
        <w:div w:id="57680139">
          <w:marLeft w:val="446"/>
          <w:marRight w:val="0"/>
          <w:marTop w:val="67"/>
          <w:marBottom w:val="0"/>
          <w:divBdr>
            <w:top w:val="none" w:sz="0" w:space="0" w:color="auto"/>
            <w:left w:val="none" w:sz="0" w:space="0" w:color="auto"/>
            <w:bottom w:val="none" w:sz="0" w:space="0" w:color="auto"/>
            <w:right w:val="none" w:sz="0" w:space="0" w:color="auto"/>
          </w:divBdr>
        </w:div>
        <w:div w:id="57680149">
          <w:marLeft w:val="979"/>
          <w:marRight w:val="0"/>
          <w:marTop w:val="67"/>
          <w:marBottom w:val="0"/>
          <w:divBdr>
            <w:top w:val="none" w:sz="0" w:space="0" w:color="auto"/>
            <w:left w:val="none" w:sz="0" w:space="0" w:color="auto"/>
            <w:bottom w:val="none" w:sz="0" w:space="0" w:color="auto"/>
            <w:right w:val="none" w:sz="0" w:space="0" w:color="auto"/>
          </w:divBdr>
        </w:div>
      </w:divsChild>
    </w:div>
    <w:div w:id="57680117">
      <w:marLeft w:val="0"/>
      <w:marRight w:val="0"/>
      <w:marTop w:val="0"/>
      <w:marBottom w:val="0"/>
      <w:divBdr>
        <w:top w:val="none" w:sz="0" w:space="0" w:color="auto"/>
        <w:left w:val="none" w:sz="0" w:space="0" w:color="auto"/>
        <w:bottom w:val="none" w:sz="0" w:space="0" w:color="auto"/>
        <w:right w:val="none" w:sz="0" w:space="0" w:color="auto"/>
      </w:divBdr>
      <w:divsChild>
        <w:div w:id="57680148">
          <w:marLeft w:val="922"/>
          <w:marRight w:val="0"/>
          <w:marTop w:val="0"/>
          <w:marBottom w:val="0"/>
          <w:divBdr>
            <w:top w:val="none" w:sz="0" w:space="0" w:color="auto"/>
            <w:left w:val="none" w:sz="0" w:space="0" w:color="auto"/>
            <w:bottom w:val="none" w:sz="0" w:space="0" w:color="auto"/>
            <w:right w:val="none" w:sz="0" w:space="0" w:color="auto"/>
          </w:divBdr>
        </w:div>
      </w:divsChild>
    </w:div>
    <w:div w:id="57680118">
      <w:marLeft w:val="0"/>
      <w:marRight w:val="0"/>
      <w:marTop w:val="0"/>
      <w:marBottom w:val="0"/>
      <w:divBdr>
        <w:top w:val="none" w:sz="0" w:space="0" w:color="auto"/>
        <w:left w:val="none" w:sz="0" w:space="0" w:color="auto"/>
        <w:bottom w:val="none" w:sz="0" w:space="0" w:color="auto"/>
        <w:right w:val="none" w:sz="0" w:space="0" w:color="auto"/>
      </w:divBdr>
    </w:div>
    <w:div w:id="57680120">
      <w:marLeft w:val="0"/>
      <w:marRight w:val="0"/>
      <w:marTop w:val="0"/>
      <w:marBottom w:val="0"/>
      <w:divBdr>
        <w:top w:val="none" w:sz="0" w:space="0" w:color="auto"/>
        <w:left w:val="none" w:sz="0" w:space="0" w:color="auto"/>
        <w:bottom w:val="none" w:sz="0" w:space="0" w:color="auto"/>
        <w:right w:val="none" w:sz="0" w:space="0" w:color="auto"/>
      </w:divBdr>
    </w:div>
    <w:div w:id="57680121">
      <w:marLeft w:val="0"/>
      <w:marRight w:val="0"/>
      <w:marTop w:val="0"/>
      <w:marBottom w:val="0"/>
      <w:divBdr>
        <w:top w:val="none" w:sz="0" w:space="0" w:color="auto"/>
        <w:left w:val="none" w:sz="0" w:space="0" w:color="auto"/>
        <w:bottom w:val="none" w:sz="0" w:space="0" w:color="auto"/>
        <w:right w:val="none" w:sz="0" w:space="0" w:color="auto"/>
      </w:divBdr>
    </w:div>
    <w:div w:id="57680122">
      <w:marLeft w:val="0"/>
      <w:marRight w:val="0"/>
      <w:marTop w:val="0"/>
      <w:marBottom w:val="0"/>
      <w:divBdr>
        <w:top w:val="none" w:sz="0" w:space="0" w:color="auto"/>
        <w:left w:val="none" w:sz="0" w:space="0" w:color="auto"/>
        <w:bottom w:val="none" w:sz="0" w:space="0" w:color="auto"/>
        <w:right w:val="none" w:sz="0" w:space="0" w:color="auto"/>
      </w:divBdr>
    </w:div>
    <w:div w:id="57680126">
      <w:marLeft w:val="0"/>
      <w:marRight w:val="0"/>
      <w:marTop w:val="0"/>
      <w:marBottom w:val="0"/>
      <w:divBdr>
        <w:top w:val="none" w:sz="0" w:space="0" w:color="auto"/>
        <w:left w:val="none" w:sz="0" w:space="0" w:color="auto"/>
        <w:bottom w:val="none" w:sz="0" w:space="0" w:color="auto"/>
        <w:right w:val="none" w:sz="0" w:space="0" w:color="auto"/>
      </w:divBdr>
      <w:divsChild>
        <w:div w:id="57680109">
          <w:marLeft w:val="547"/>
          <w:marRight w:val="0"/>
          <w:marTop w:val="86"/>
          <w:marBottom w:val="0"/>
          <w:divBdr>
            <w:top w:val="none" w:sz="0" w:space="0" w:color="auto"/>
            <w:left w:val="none" w:sz="0" w:space="0" w:color="auto"/>
            <w:bottom w:val="none" w:sz="0" w:space="0" w:color="auto"/>
            <w:right w:val="none" w:sz="0" w:space="0" w:color="auto"/>
          </w:divBdr>
        </w:div>
      </w:divsChild>
    </w:div>
    <w:div w:id="57680127">
      <w:marLeft w:val="0"/>
      <w:marRight w:val="0"/>
      <w:marTop w:val="0"/>
      <w:marBottom w:val="0"/>
      <w:divBdr>
        <w:top w:val="none" w:sz="0" w:space="0" w:color="auto"/>
        <w:left w:val="none" w:sz="0" w:space="0" w:color="auto"/>
        <w:bottom w:val="none" w:sz="0" w:space="0" w:color="auto"/>
        <w:right w:val="none" w:sz="0" w:space="0" w:color="auto"/>
      </w:divBdr>
    </w:div>
    <w:div w:id="57680128">
      <w:marLeft w:val="0"/>
      <w:marRight w:val="0"/>
      <w:marTop w:val="0"/>
      <w:marBottom w:val="0"/>
      <w:divBdr>
        <w:top w:val="none" w:sz="0" w:space="0" w:color="auto"/>
        <w:left w:val="none" w:sz="0" w:space="0" w:color="auto"/>
        <w:bottom w:val="none" w:sz="0" w:space="0" w:color="auto"/>
        <w:right w:val="none" w:sz="0" w:space="0" w:color="auto"/>
      </w:divBdr>
    </w:div>
    <w:div w:id="57680129">
      <w:marLeft w:val="0"/>
      <w:marRight w:val="0"/>
      <w:marTop w:val="0"/>
      <w:marBottom w:val="0"/>
      <w:divBdr>
        <w:top w:val="none" w:sz="0" w:space="0" w:color="auto"/>
        <w:left w:val="none" w:sz="0" w:space="0" w:color="auto"/>
        <w:bottom w:val="none" w:sz="0" w:space="0" w:color="auto"/>
        <w:right w:val="none" w:sz="0" w:space="0" w:color="auto"/>
      </w:divBdr>
    </w:div>
    <w:div w:id="57680131">
      <w:marLeft w:val="0"/>
      <w:marRight w:val="0"/>
      <w:marTop w:val="0"/>
      <w:marBottom w:val="0"/>
      <w:divBdr>
        <w:top w:val="none" w:sz="0" w:space="0" w:color="auto"/>
        <w:left w:val="none" w:sz="0" w:space="0" w:color="auto"/>
        <w:bottom w:val="none" w:sz="0" w:space="0" w:color="auto"/>
        <w:right w:val="none" w:sz="0" w:space="0" w:color="auto"/>
      </w:divBdr>
    </w:div>
    <w:div w:id="57680132">
      <w:marLeft w:val="0"/>
      <w:marRight w:val="0"/>
      <w:marTop w:val="0"/>
      <w:marBottom w:val="0"/>
      <w:divBdr>
        <w:top w:val="none" w:sz="0" w:space="0" w:color="auto"/>
        <w:left w:val="none" w:sz="0" w:space="0" w:color="auto"/>
        <w:bottom w:val="none" w:sz="0" w:space="0" w:color="auto"/>
        <w:right w:val="none" w:sz="0" w:space="0" w:color="auto"/>
      </w:divBdr>
    </w:div>
    <w:div w:id="57680133">
      <w:marLeft w:val="0"/>
      <w:marRight w:val="0"/>
      <w:marTop w:val="0"/>
      <w:marBottom w:val="0"/>
      <w:divBdr>
        <w:top w:val="none" w:sz="0" w:space="0" w:color="auto"/>
        <w:left w:val="none" w:sz="0" w:space="0" w:color="auto"/>
        <w:bottom w:val="none" w:sz="0" w:space="0" w:color="auto"/>
        <w:right w:val="none" w:sz="0" w:space="0" w:color="auto"/>
      </w:divBdr>
    </w:div>
    <w:div w:id="57680134">
      <w:marLeft w:val="0"/>
      <w:marRight w:val="0"/>
      <w:marTop w:val="0"/>
      <w:marBottom w:val="0"/>
      <w:divBdr>
        <w:top w:val="none" w:sz="0" w:space="0" w:color="auto"/>
        <w:left w:val="none" w:sz="0" w:space="0" w:color="auto"/>
        <w:bottom w:val="none" w:sz="0" w:space="0" w:color="auto"/>
        <w:right w:val="none" w:sz="0" w:space="0" w:color="auto"/>
      </w:divBdr>
      <w:divsChild>
        <w:div w:id="57680141">
          <w:marLeft w:val="547"/>
          <w:marRight w:val="0"/>
          <w:marTop w:val="86"/>
          <w:marBottom w:val="0"/>
          <w:divBdr>
            <w:top w:val="none" w:sz="0" w:space="0" w:color="auto"/>
            <w:left w:val="none" w:sz="0" w:space="0" w:color="auto"/>
            <w:bottom w:val="none" w:sz="0" w:space="0" w:color="auto"/>
            <w:right w:val="none" w:sz="0" w:space="0" w:color="auto"/>
          </w:divBdr>
        </w:div>
      </w:divsChild>
    </w:div>
    <w:div w:id="57680137">
      <w:marLeft w:val="0"/>
      <w:marRight w:val="0"/>
      <w:marTop w:val="0"/>
      <w:marBottom w:val="0"/>
      <w:divBdr>
        <w:top w:val="none" w:sz="0" w:space="0" w:color="auto"/>
        <w:left w:val="none" w:sz="0" w:space="0" w:color="auto"/>
        <w:bottom w:val="none" w:sz="0" w:space="0" w:color="auto"/>
        <w:right w:val="none" w:sz="0" w:space="0" w:color="auto"/>
      </w:divBdr>
    </w:div>
    <w:div w:id="57680138">
      <w:marLeft w:val="0"/>
      <w:marRight w:val="0"/>
      <w:marTop w:val="0"/>
      <w:marBottom w:val="0"/>
      <w:divBdr>
        <w:top w:val="none" w:sz="0" w:space="0" w:color="auto"/>
        <w:left w:val="none" w:sz="0" w:space="0" w:color="auto"/>
        <w:bottom w:val="none" w:sz="0" w:space="0" w:color="auto"/>
        <w:right w:val="none" w:sz="0" w:space="0" w:color="auto"/>
      </w:divBdr>
    </w:div>
    <w:div w:id="57680142">
      <w:marLeft w:val="0"/>
      <w:marRight w:val="0"/>
      <w:marTop w:val="0"/>
      <w:marBottom w:val="0"/>
      <w:divBdr>
        <w:top w:val="none" w:sz="0" w:space="0" w:color="auto"/>
        <w:left w:val="none" w:sz="0" w:space="0" w:color="auto"/>
        <w:bottom w:val="none" w:sz="0" w:space="0" w:color="auto"/>
        <w:right w:val="none" w:sz="0" w:space="0" w:color="auto"/>
      </w:divBdr>
    </w:div>
    <w:div w:id="57680144">
      <w:marLeft w:val="0"/>
      <w:marRight w:val="0"/>
      <w:marTop w:val="0"/>
      <w:marBottom w:val="0"/>
      <w:divBdr>
        <w:top w:val="none" w:sz="0" w:space="0" w:color="auto"/>
        <w:left w:val="none" w:sz="0" w:space="0" w:color="auto"/>
        <w:bottom w:val="none" w:sz="0" w:space="0" w:color="auto"/>
        <w:right w:val="none" w:sz="0" w:space="0" w:color="auto"/>
      </w:divBdr>
    </w:div>
    <w:div w:id="57680145">
      <w:marLeft w:val="0"/>
      <w:marRight w:val="0"/>
      <w:marTop w:val="0"/>
      <w:marBottom w:val="0"/>
      <w:divBdr>
        <w:top w:val="none" w:sz="0" w:space="0" w:color="auto"/>
        <w:left w:val="none" w:sz="0" w:space="0" w:color="auto"/>
        <w:bottom w:val="none" w:sz="0" w:space="0" w:color="auto"/>
        <w:right w:val="none" w:sz="0" w:space="0" w:color="auto"/>
      </w:divBdr>
      <w:divsChild>
        <w:div w:id="57680112">
          <w:marLeft w:val="446"/>
          <w:marRight w:val="0"/>
          <w:marTop w:val="67"/>
          <w:marBottom w:val="0"/>
          <w:divBdr>
            <w:top w:val="none" w:sz="0" w:space="0" w:color="auto"/>
            <w:left w:val="none" w:sz="0" w:space="0" w:color="auto"/>
            <w:bottom w:val="none" w:sz="0" w:space="0" w:color="auto"/>
            <w:right w:val="none" w:sz="0" w:space="0" w:color="auto"/>
          </w:divBdr>
        </w:div>
        <w:div w:id="57680143">
          <w:marLeft w:val="446"/>
          <w:marRight w:val="0"/>
          <w:marTop w:val="67"/>
          <w:marBottom w:val="0"/>
          <w:divBdr>
            <w:top w:val="none" w:sz="0" w:space="0" w:color="auto"/>
            <w:left w:val="none" w:sz="0" w:space="0" w:color="auto"/>
            <w:bottom w:val="none" w:sz="0" w:space="0" w:color="auto"/>
            <w:right w:val="none" w:sz="0" w:space="0" w:color="auto"/>
          </w:divBdr>
        </w:div>
      </w:divsChild>
    </w:div>
    <w:div w:id="57680146">
      <w:marLeft w:val="0"/>
      <w:marRight w:val="0"/>
      <w:marTop w:val="0"/>
      <w:marBottom w:val="0"/>
      <w:divBdr>
        <w:top w:val="none" w:sz="0" w:space="0" w:color="auto"/>
        <w:left w:val="none" w:sz="0" w:space="0" w:color="auto"/>
        <w:bottom w:val="none" w:sz="0" w:space="0" w:color="auto"/>
        <w:right w:val="none" w:sz="0" w:space="0" w:color="auto"/>
      </w:divBdr>
      <w:divsChild>
        <w:div w:id="57680124">
          <w:marLeft w:val="547"/>
          <w:marRight w:val="0"/>
          <w:marTop w:val="86"/>
          <w:marBottom w:val="0"/>
          <w:divBdr>
            <w:top w:val="none" w:sz="0" w:space="0" w:color="auto"/>
            <w:left w:val="none" w:sz="0" w:space="0" w:color="auto"/>
            <w:bottom w:val="none" w:sz="0" w:space="0" w:color="auto"/>
            <w:right w:val="none" w:sz="0" w:space="0" w:color="auto"/>
          </w:divBdr>
        </w:div>
      </w:divsChild>
    </w:div>
    <w:div w:id="57680147">
      <w:marLeft w:val="0"/>
      <w:marRight w:val="0"/>
      <w:marTop w:val="0"/>
      <w:marBottom w:val="0"/>
      <w:divBdr>
        <w:top w:val="none" w:sz="0" w:space="0" w:color="auto"/>
        <w:left w:val="none" w:sz="0" w:space="0" w:color="auto"/>
        <w:bottom w:val="none" w:sz="0" w:space="0" w:color="auto"/>
        <w:right w:val="none" w:sz="0" w:space="0" w:color="auto"/>
      </w:divBdr>
    </w:div>
    <w:div w:id="57680150">
      <w:marLeft w:val="0"/>
      <w:marRight w:val="0"/>
      <w:marTop w:val="0"/>
      <w:marBottom w:val="0"/>
      <w:divBdr>
        <w:top w:val="none" w:sz="0" w:space="0" w:color="auto"/>
        <w:left w:val="none" w:sz="0" w:space="0" w:color="auto"/>
        <w:bottom w:val="none" w:sz="0" w:space="0" w:color="auto"/>
        <w:right w:val="none" w:sz="0" w:space="0" w:color="auto"/>
      </w:divBdr>
    </w:div>
    <w:div w:id="57680151">
      <w:marLeft w:val="0"/>
      <w:marRight w:val="0"/>
      <w:marTop w:val="0"/>
      <w:marBottom w:val="0"/>
      <w:divBdr>
        <w:top w:val="none" w:sz="0" w:space="0" w:color="auto"/>
        <w:left w:val="none" w:sz="0" w:space="0" w:color="auto"/>
        <w:bottom w:val="none" w:sz="0" w:space="0" w:color="auto"/>
        <w:right w:val="none" w:sz="0" w:space="0" w:color="auto"/>
      </w:divBdr>
    </w:div>
    <w:div w:id="57680152">
      <w:marLeft w:val="0"/>
      <w:marRight w:val="0"/>
      <w:marTop w:val="0"/>
      <w:marBottom w:val="0"/>
      <w:divBdr>
        <w:top w:val="none" w:sz="0" w:space="0" w:color="auto"/>
        <w:left w:val="none" w:sz="0" w:space="0" w:color="auto"/>
        <w:bottom w:val="none" w:sz="0" w:space="0" w:color="auto"/>
        <w:right w:val="none" w:sz="0" w:space="0" w:color="auto"/>
      </w:divBdr>
    </w:div>
    <w:div w:id="57680153">
      <w:marLeft w:val="0"/>
      <w:marRight w:val="0"/>
      <w:marTop w:val="0"/>
      <w:marBottom w:val="0"/>
      <w:divBdr>
        <w:top w:val="none" w:sz="0" w:space="0" w:color="auto"/>
        <w:left w:val="none" w:sz="0" w:space="0" w:color="auto"/>
        <w:bottom w:val="none" w:sz="0" w:space="0" w:color="auto"/>
        <w:right w:val="none" w:sz="0" w:space="0" w:color="auto"/>
      </w:divBdr>
    </w:div>
    <w:div w:id="57680154">
      <w:marLeft w:val="0"/>
      <w:marRight w:val="0"/>
      <w:marTop w:val="0"/>
      <w:marBottom w:val="0"/>
      <w:divBdr>
        <w:top w:val="none" w:sz="0" w:space="0" w:color="auto"/>
        <w:left w:val="none" w:sz="0" w:space="0" w:color="auto"/>
        <w:bottom w:val="none" w:sz="0" w:space="0" w:color="auto"/>
        <w:right w:val="none" w:sz="0" w:space="0" w:color="auto"/>
      </w:divBdr>
    </w:div>
    <w:div w:id="57939995">
      <w:bodyDiv w:val="1"/>
      <w:marLeft w:val="0"/>
      <w:marRight w:val="0"/>
      <w:marTop w:val="0"/>
      <w:marBottom w:val="0"/>
      <w:divBdr>
        <w:top w:val="none" w:sz="0" w:space="0" w:color="auto"/>
        <w:left w:val="none" w:sz="0" w:space="0" w:color="auto"/>
        <w:bottom w:val="none" w:sz="0" w:space="0" w:color="auto"/>
        <w:right w:val="none" w:sz="0" w:space="0" w:color="auto"/>
      </w:divBdr>
    </w:div>
    <w:div w:id="333804159">
      <w:bodyDiv w:val="1"/>
      <w:marLeft w:val="0"/>
      <w:marRight w:val="0"/>
      <w:marTop w:val="0"/>
      <w:marBottom w:val="0"/>
      <w:divBdr>
        <w:top w:val="none" w:sz="0" w:space="0" w:color="auto"/>
        <w:left w:val="none" w:sz="0" w:space="0" w:color="auto"/>
        <w:bottom w:val="none" w:sz="0" w:space="0" w:color="auto"/>
        <w:right w:val="none" w:sz="0" w:space="0" w:color="auto"/>
      </w:divBdr>
    </w:div>
    <w:div w:id="441799709">
      <w:bodyDiv w:val="1"/>
      <w:marLeft w:val="0"/>
      <w:marRight w:val="0"/>
      <w:marTop w:val="0"/>
      <w:marBottom w:val="0"/>
      <w:divBdr>
        <w:top w:val="none" w:sz="0" w:space="0" w:color="auto"/>
        <w:left w:val="none" w:sz="0" w:space="0" w:color="auto"/>
        <w:bottom w:val="none" w:sz="0" w:space="0" w:color="auto"/>
        <w:right w:val="none" w:sz="0" w:space="0" w:color="auto"/>
      </w:divBdr>
    </w:div>
    <w:div w:id="563176956">
      <w:bodyDiv w:val="1"/>
      <w:marLeft w:val="0"/>
      <w:marRight w:val="0"/>
      <w:marTop w:val="0"/>
      <w:marBottom w:val="0"/>
      <w:divBdr>
        <w:top w:val="none" w:sz="0" w:space="0" w:color="auto"/>
        <w:left w:val="none" w:sz="0" w:space="0" w:color="auto"/>
        <w:bottom w:val="none" w:sz="0" w:space="0" w:color="auto"/>
        <w:right w:val="none" w:sz="0" w:space="0" w:color="auto"/>
      </w:divBdr>
    </w:div>
    <w:div w:id="1270550538">
      <w:bodyDiv w:val="1"/>
      <w:marLeft w:val="0"/>
      <w:marRight w:val="0"/>
      <w:marTop w:val="0"/>
      <w:marBottom w:val="0"/>
      <w:divBdr>
        <w:top w:val="none" w:sz="0" w:space="0" w:color="auto"/>
        <w:left w:val="none" w:sz="0" w:space="0" w:color="auto"/>
        <w:bottom w:val="none" w:sz="0" w:space="0" w:color="auto"/>
        <w:right w:val="none" w:sz="0" w:space="0" w:color="auto"/>
      </w:divBdr>
    </w:div>
    <w:div w:id="1353453622">
      <w:bodyDiv w:val="1"/>
      <w:marLeft w:val="0"/>
      <w:marRight w:val="0"/>
      <w:marTop w:val="0"/>
      <w:marBottom w:val="0"/>
      <w:divBdr>
        <w:top w:val="none" w:sz="0" w:space="0" w:color="auto"/>
        <w:left w:val="none" w:sz="0" w:space="0" w:color="auto"/>
        <w:bottom w:val="none" w:sz="0" w:space="0" w:color="auto"/>
        <w:right w:val="none" w:sz="0" w:space="0" w:color="auto"/>
      </w:divBdr>
      <w:divsChild>
        <w:div w:id="1651253362">
          <w:marLeft w:val="0"/>
          <w:marRight w:val="0"/>
          <w:marTop w:val="0"/>
          <w:marBottom w:val="0"/>
          <w:divBdr>
            <w:top w:val="none" w:sz="0" w:space="0" w:color="auto"/>
            <w:left w:val="none" w:sz="0" w:space="0" w:color="auto"/>
            <w:bottom w:val="none" w:sz="0" w:space="0" w:color="auto"/>
            <w:right w:val="none" w:sz="0" w:space="0" w:color="auto"/>
          </w:divBdr>
        </w:div>
      </w:divsChild>
    </w:div>
    <w:div w:id="1534808012">
      <w:bodyDiv w:val="1"/>
      <w:marLeft w:val="0"/>
      <w:marRight w:val="0"/>
      <w:marTop w:val="0"/>
      <w:marBottom w:val="0"/>
      <w:divBdr>
        <w:top w:val="none" w:sz="0" w:space="0" w:color="auto"/>
        <w:left w:val="none" w:sz="0" w:space="0" w:color="auto"/>
        <w:bottom w:val="none" w:sz="0" w:space="0" w:color="auto"/>
        <w:right w:val="none" w:sz="0" w:space="0" w:color="auto"/>
      </w:divBdr>
    </w:div>
    <w:div w:id="1582719065">
      <w:bodyDiv w:val="1"/>
      <w:marLeft w:val="0"/>
      <w:marRight w:val="0"/>
      <w:marTop w:val="0"/>
      <w:marBottom w:val="0"/>
      <w:divBdr>
        <w:top w:val="none" w:sz="0" w:space="0" w:color="auto"/>
        <w:left w:val="none" w:sz="0" w:space="0" w:color="auto"/>
        <w:bottom w:val="none" w:sz="0" w:space="0" w:color="auto"/>
        <w:right w:val="none" w:sz="0" w:space="0" w:color="auto"/>
      </w:divBdr>
    </w:div>
    <w:div w:id="1631593066">
      <w:bodyDiv w:val="1"/>
      <w:marLeft w:val="0"/>
      <w:marRight w:val="0"/>
      <w:marTop w:val="0"/>
      <w:marBottom w:val="0"/>
      <w:divBdr>
        <w:top w:val="none" w:sz="0" w:space="0" w:color="auto"/>
        <w:left w:val="none" w:sz="0" w:space="0" w:color="auto"/>
        <w:bottom w:val="none" w:sz="0" w:space="0" w:color="auto"/>
        <w:right w:val="none" w:sz="0" w:space="0" w:color="auto"/>
      </w:divBdr>
    </w:div>
    <w:div w:id="1834831386">
      <w:bodyDiv w:val="1"/>
      <w:marLeft w:val="0"/>
      <w:marRight w:val="0"/>
      <w:marTop w:val="0"/>
      <w:marBottom w:val="0"/>
      <w:divBdr>
        <w:top w:val="none" w:sz="0" w:space="0" w:color="auto"/>
        <w:left w:val="none" w:sz="0" w:space="0" w:color="auto"/>
        <w:bottom w:val="none" w:sz="0" w:space="0" w:color="auto"/>
        <w:right w:val="none" w:sz="0" w:space="0" w:color="auto"/>
      </w:divBdr>
    </w:div>
    <w:div w:id="206028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emf"/><Relationship Id="rId18" Type="http://schemas.openxmlformats.org/officeDocument/2006/relationships/hyperlink" Target="https://www.bdo.global/getmedia/8fbb4be2-6c90-4799-86a0-c7627ad7d9e8/IFRB-2020-03-Potential-effects-of-the-coronavirus-outbreak-on-2020-onward.aspx" TargetMode="External"/><Relationship Id="rId26" Type="http://schemas.openxmlformats.org/officeDocument/2006/relationships/footer" Target="footer1.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bdo.global/getmedia/ead2254f-8fd8-4636-a96a-39f9357d0533/IFRB-2020-11-accounting-for-rent-concessions-FAQ.aspx"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bdo.global/getmedia/3dea529b-2521-43d2-b73f-ee8f3418eea4/IFRB-2020-02-Potential-effects-of-the-Coronavirus-Outbreak-31-12-2019-year-ends.aspx" TargetMode="External"/><Relationship Id="rId25" Type="http://schemas.openxmlformats.org/officeDocument/2006/relationships/header" Target="header1.xml"/><Relationship Id="rId33" Type="http://schemas.openxmlformats.org/officeDocument/2006/relationships/image" Target="media/image4.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bdo.global/en-gb/microsites/ifrs/ifrs-reporting" TargetMode="External"/><Relationship Id="rId20" Type="http://schemas.openxmlformats.org/officeDocument/2006/relationships/hyperlink" Target="https://www.bdo.global/getmedia/aa095ab7-4b30-4ede-9796-b28cd8e19dff/IFRB-2020-09-Impairment-implications-of-COVID-19-(IFRS-9-Financial-instruments).aspx" TargetMode="External"/><Relationship Id="rId29" Type="http://schemas.openxmlformats.org/officeDocument/2006/relationships/hyperlink" Target="https://www.bdo.global/en-gb/microsites/ifrs/resource-library/model-ifrs-financial-statemen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bdo.global/en-gb/microsites/ifrs/resource-library/model-ifrs-financial-statements" TargetMode="External"/><Relationship Id="rId32" Type="http://schemas.openxmlformats.org/officeDocument/2006/relationships/hyperlink" Target="https://www.esma.europa.eu/sites/default/files/library/esma32-51-370_qas_on_esma_guidelines_on_apms.pdf" TargetMode="External"/><Relationship Id="rId37" Type="http://schemas.openxmlformats.org/officeDocument/2006/relationships/hyperlink" Target="http://www.bdo.global"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bdo.global/en-gb/microsites/ifrs/resource-library/model-ifrs-financial-statements" TargetMode="External"/><Relationship Id="rId23" Type="http://schemas.openxmlformats.org/officeDocument/2006/relationships/hyperlink" Target="https://www.bdo.global/getmedia/391585bf-68f4-40bf-bf74-e935dc28b485/IFRS-in-Practice-IAS-36-Impairment-of-Assets-2020-2021.aspx" TargetMode="External"/><Relationship Id="rId28" Type="http://schemas.openxmlformats.org/officeDocument/2006/relationships/hyperlink" Target="https://www.bdo.global/getmedia/ff0bc9df-1738-4035-853d-b877657d07ca/IFRB-2019-03-ESMA-IAS-12-deferred-tax.aspx?lang=en-GB"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bdo.global/getmedia/5f0d9621-8c56-493a-b4bc-72c03ba2c122/IFRB-2020-07-Impairment-implications-of-COVID-19-(IAS-36).aspx" TargetMode="External"/><Relationship Id="rId31" Type="http://schemas.openxmlformats.org/officeDocument/2006/relationships/hyperlink" Target="https://www.bdo.global/en-gb/microsites/ifrs/resource-library?category=IFRbulletins&amp;tag=all&amp;accounting=ifrs1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bdo.global/getmedia/48fe6a50-e9b6-4a79-a527-91fef743f439/IFRB-2020-12-Implications-of-COVID-19-for-lessors.aspx" TargetMode="External"/><Relationship Id="rId27" Type="http://schemas.openxmlformats.org/officeDocument/2006/relationships/hyperlink" Target="https://rise.articulate.com/share/YnNBH8y6yEv7wTv07_B5Is7urrS0ekXR" TargetMode="External"/><Relationship Id="rId30" Type="http://schemas.openxmlformats.org/officeDocument/2006/relationships/hyperlink" Target="https://cdn.ifrs.org/-/media/feature/supporting-implementation/ifrs-13/education-ifrs-13-eng.pdf" TargetMode="External"/><Relationship Id="rId35" Type="http://schemas.openxmlformats.org/officeDocument/2006/relationships/header" Target="header3.xml"/><Relationship Id="rId43" Type="http://schemas.microsoft.com/office/2018/08/relationships/commentsExtensible" Target="commentsExtensible.xml"/></Relationships>
</file>

<file path=word/theme/theme1.xml><?xml version="1.0" encoding="utf-8"?>
<a:theme xmlns:a="http://schemas.openxmlformats.org/drawingml/2006/main" name="Kantoorthema">
  <a:themeElements>
    <a:clrScheme name="Personnalisé 2">
      <a:dk1>
        <a:srgbClr val="404040"/>
      </a:dk1>
      <a:lt1>
        <a:srgbClr val="FFFFFF"/>
      </a:lt1>
      <a:dk2>
        <a:srgbClr val="ED1A3B"/>
      </a:dk2>
      <a:lt2>
        <a:srgbClr val="218F8B"/>
      </a:lt2>
      <a:accent1>
        <a:srgbClr val="02A5E2"/>
      </a:accent1>
      <a:accent2>
        <a:srgbClr val="DF8639"/>
      </a:accent2>
      <a:accent3>
        <a:srgbClr val="98002E"/>
      </a:accent3>
      <a:accent4>
        <a:srgbClr val="657C91"/>
      </a:accent4>
      <a:accent5>
        <a:srgbClr val="E7E7E7"/>
      </a:accent5>
      <a:accent6>
        <a:srgbClr val="FFFFFF"/>
      </a:accent6>
      <a:hlink>
        <a:srgbClr val="02A5E2"/>
      </a:hlink>
      <a:folHlink>
        <a:srgbClr val="02A5E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A8272DEF28BE46BC670BA4DABCE8B1" ma:contentTypeVersion="11" ma:contentTypeDescription="Create a new document." ma:contentTypeScope="" ma:versionID="0e1b1c68ef381b9431272b0f021bdfe5">
  <xsd:schema xmlns:xsd="http://www.w3.org/2001/XMLSchema" xmlns:xs="http://www.w3.org/2001/XMLSchema" xmlns:p="http://schemas.microsoft.com/office/2006/metadata/properties" xmlns:ns2="ab89c687-c334-4e84-97d3-b87e2af2614d" xmlns:ns3="f5a92959-3833-401f-b654-5908091eafb2" targetNamespace="http://schemas.microsoft.com/office/2006/metadata/properties" ma:root="true" ma:fieldsID="88bd7acf9215516a3a8e03fc8f830832" ns2:_="" ns3:_="">
    <xsd:import namespace="ab89c687-c334-4e84-97d3-b87e2af2614d"/>
    <xsd:import namespace="f5a92959-3833-401f-b654-5908091eaf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89c687-c334-4e84-97d3-b87e2af26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a92959-3833-401f-b654-5908091eaf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8C735-BFF1-4A94-ADF6-36E3A5DCE5BF}">
  <ds:schemaRefs>
    <ds:schemaRef ds:uri="http://schemas.microsoft.com/sharepoint/v3/contenttype/forms"/>
  </ds:schemaRefs>
</ds:datastoreItem>
</file>

<file path=customXml/itemProps2.xml><?xml version="1.0" encoding="utf-8"?>
<ds:datastoreItem xmlns:ds="http://schemas.openxmlformats.org/officeDocument/2006/customXml" ds:itemID="{8792F752-12AA-430E-A980-BEBAAAF25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89c687-c334-4e84-97d3-b87e2af2614d"/>
    <ds:schemaRef ds:uri="f5a92959-3833-401f-b654-5908091eaf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FBB7FA-7B24-4462-B35F-127210D521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DE93BF-EDE7-4ED1-90A2-4D0E1ACCD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45</Pages>
  <Words>14889</Words>
  <Characters>84868</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31 December 2020 COVID-19 Supplement</vt:lpstr>
    </vt:vector>
  </TitlesOfParts>
  <Company/>
  <LinksUpToDate>false</LinksUpToDate>
  <CharactersWithSpaces>99558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 December 2020 COVID-19 Supplement</dc:title>
  <dc:subject/>
  <dc:creator>Priestley, Marc</dc:creator>
  <cp:keywords/>
  <dc:description/>
  <cp:lastModifiedBy>Priestley, Marc</cp:lastModifiedBy>
  <cp:revision>6</cp:revision>
  <cp:lastPrinted>2020-12-16T20:44:00Z</cp:lastPrinted>
  <dcterms:created xsi:type="dcterms:W3CDTF">2020-12-16T20:33:00Z</dcterms:created>
  <dcterms:modified xsi:type="dcterms:W3CDTF">2020-12-16T21:15:00Z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0x010100D1A8272DEF28BE46BC670BA4DABCE8B1</vt:lpwstr>
  </property>
</Properties>
</file>